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FF0" w:rsidRPr="00477670" w:rsidRDefault="0044592F" w:rsidP="007E08EC">
      <w:pPr>
        <w:kinsoku w:val="0"/>
        <w:overflowPunct w:val="0"/>
        <w:autoSpaceDE/>
        <w:autoSpaceDN/>
        <w:adjustRightInd/>
        <w:jc w:val="center"/>
        <w:textAlignment w:val="baseline"/>
        <w:rPr>
          <w:b/>
          <w:bCs/>
          <w:spacing w:val="6"/>
          <w:sz w:val="24"/>
          <w:szCs w:val="24"/>
        </w:rPr>
      </w:pPr>
      <w:bookmarkStart w:id="0" w:name="_GoBack"/>
      <w:bookmarkEnd w:id="0"/>
      <w:r w:rsidRPr="00477670">
        <w:rPr>
          <w:b/>
          <w:bCs/>
          <w:spacing w:val="6"/>
          <w:sz w:val="24"/>
          <w:szCs w:val="24"/>
        </w:rPr>
        <w:t>BEFORE THE GEORGIA PUBLIC SERVICE COMMISSION</w:t>
      </w:r>
    </w:p>
    <w:p w:rsidR="008553F2" w:rsidRPr="00477670" w:rsidRDefault="0044592F" w:rsidP="007E08EC">
      <w:pPr>
        <w:kinsoku w:val="0"/>
        <w:overflowPunct w:val="0"/>
        <w:autoSpaceDE/>
        <w:autoSpaceDN/>
        <w:adjustRightInd/>
        <w:jc w:val="center"/>
        <w:textAlignment w:val="baseline"/>
        <w:rPr>
          <w:b/>
          <w:bCs/>
          <w:spacing w:val="6"/>
          <w:sz w:val="24"/>
          <w:szCs w:val="24"/>
        </w:rPr>
      </w:pPr>
      <w:r w:rsidRPr="00477670">
        <w:rPr>
          <w:b/>
          <w:bCs/>
          <w:spacing w:val="6"/>
          <w:sz w:val="24"/>
          <w:szCs w:val="24"/>
        </w:rPr>
        <w:t>STATE OF GEORGIA</w:t>
      </w:r>
    </w:p>
    <w:p w:rsidR="008553F2" w:rsidRPr="00477670" w:rsidRDefault="008553F2" w:rsidP="007E08EC">
      <w:pPr>
        <w:kinsoku w:val="0"/>
        <w:overflowPunct w:val="0"/>
        <w:autoSpaceDE/>
        <w:autoSpaceDN/>
        <w:adjustRightInd/>
        <w:jc w:val="center"/>
        <w:textAlignment w:val="baseline"/>
        <w:rPr>
          <w:b/>
          <w:bCs/>
          <w:spacing w:val="6"/>
          <w:sz w:val="24"/>
          <w:szCs w:val="24"/>
        </w:rPr>
      </w:pPr>
    </w:p>
    <w:p w:rsidR="008553F2" w:rsidRPr="00477670" w:rsidRDefault="008553F2" w:rsidP="007E08EC">
      <w:pPr>
        <w:kinsoku w:val="0"/>
        <w:overflowPunct w:val="0"/>
        <w:autoSpaceDE/>
        <w:autoSpaceDN/>
        <w:adjustRightInd/>
        <w:jc w:val="center"/>
        <w:textAlignment w:val="baseline"/>
        <w:rPr>
          <w:b/>
          <w:bCs/>
          <w:spacing w:val="6"/>
          <w:sz w:val="24"/>
          <w:szCs w:val="24"/>
        </w:rPr>
      </w:pPr>
    </w:p>
    <w:tbl>
      <w:tblPr>
        <w:tblW w:w="9558" w:type="dxa"/>
        <w:tblCellMar>
          <w:left w:w="0" w:type="dxa"/>
          <w:right w:w="0" w:type="dxa"/>
        </w:tblCellMar>
        <w:tblLook w:val="0000" w:firstRow="0" w:lastRow="0" w:firstColumn="0" w:lastColumn="0" w:noHBand="0" w:noVBand="0"/>
      </w:tblPr>
      <w:tblGrid>
        <w:gridCol w:w="5778"/>
        <w:gridCol w:w="296"/>
        <w:gridCol w:w="3484"/>
      </w:tblGrid>
      <w:tr w:rsidR="00B02CFF" w:rsidTr="007E08EC">
        <w:tc>
          <w:tcPr>
            <w:tcW w:w="5778" w:type="dxa"/>
            <w:tcMar>
              <w:top w:w="0" w:type="dxa"/>
              <w:left w:w="108" w:type="dxa"/>
              <w:bottom w:w="0" w:type="dxa"/>
              <w:right w:w="108" w:type="dxa"/>
            </w:tcMar>
          </w:tcPr>
          <w:p w:rsidR="008553F2" w:rsidRPr="00477670" w:rsidRDefault="008553F2" w:rsidP="007E08EC">
            <w:pPr>
              <w:rPr>
                <w:sz w:val="24"/>
                <w:szCs w:val="24"/>
              </w:rPr>
            </w:pPr>
          </w:p>
          <w:p w:rsidR="00D56C05" w:rsidRPr="00477670" w:rsidRDefault="0044592F" w:rsidP="007E08EC">
            <w:pPr>
              <w:rPr>
                <w:sz w:val="24"/>
                <w:szCs w:val="24"/>
              </w:rPr>
            </w:pPr>
            <w:r w:rsidRPr="00477670">
              <w:rPr>
                <w:b/>
                <w:iCs/>
                <w:sz w:val="24"/>
                <w:szCs w:val="24"/>
              </w:rPr>
              <w:t>IN RE: ATLANTA GAS LIGHT COMPANY</w:t>
            </w:r>
            <w:r w:rsidRPr="00477670">
              <w:rPr>
                <w:b/>
                <w:bCs/>
                <w:sz w:val="24"/>
                <w:szCs w:val="24"/>
              </w:rPr>
              <w:t> </w:t>
            </w:r>
          </w:p>
        </w:tc>
        <w:tc>
          <w:tcPr>
            <w:tcW w:w="296" w:type="dxa"/>
            <w:tcMar>
              <w:top w:w="0" w:type="dxa"/>
              <w:left w:w="108" w:type="dxa"/>
              <w:bottom w:w="0" w:type="dxa"/>
              <w:right w:w="108" w:type="dxa"/>
            </w:tcMar>
          </w:tcPr>
          <w:p w:rsidR="008553F2" w:rsidRPr="00477670" w:rsidRDefault="0044592F" w:rsidP="007E08EC">
            <w:pPr>
              <w:rPr>
                <w:b/>
                <w:sz w:val="24"/>
                <w:szCs w:val="24"/>
              </w:rPr>
            </w:pPr>
            <w:r w:rsidRPr="00477670">
              <w:rPr>
                <w:b/>
                <w:sz w:val="24"/>
                <w:szCs w:val="24"/>
              </w:rPr>
              <w:t>)</w:t>
            </w:r>
          </w:p>
          <w:p w:rsidR="008553F2" w:rsidRPr="00477670" w:rsidRDefault="0044592F" w:rsidP="007E08EC">
            <w:pPr>
              <w:rPr>
                <w:b/>
                <w:sz w:val="24"/>
                <w:szCs w:val="24"/>
              </w:rPr>
            </w:pPr>
            <w:r w:rsidRPr="00477670">
              <w:rPr>
                <w:b/>
                <w:sz w:val="24"/>
                <w:szCs w:val="24"/>
              </w:rPr>
              <w:t>)</w:t>
            </w:r>
          </w:p>
          <w:p w:rsidR="008553F2" w:rsidRPr="00477670" w:rsidRDefault="0044592F" w:rsidP="007E08EC">
            <w:pPr>
              <w:rPr>
                <w:b/>
                <w:sz w:val="24"/>
                <w:szCs w:val="24"/>
              </w:rPr>
            </w:pPr>
            <w:r w:rsidRPr="00477670">
              <w:rPr>
                <w:b/>
                <w:sz w:val="24"/>
                <w:szCs w:val="24"/>
              </w:rPr>
              <w:t>)</w:t>
            </w:r>
          </w:p>
          <w:p w:rsidR="008553F2" w:rsidRPr="00477670" w:rsidRDefault="0044592F" w:rsidP="007E08EC">
            <w:pPr>
              <w:rPr>
                <w:b/>
                <w:sz w:val="24"/>
                <w:szCs w:val="24"/>
              </w:rPr>
            </w:pPr>
            <w:r w:rsidRPr="00477670">
              <w:rPr>
                <w:b/>
                <w:sz w:val="24"/>
                <w:szCs w:val="24"/>
              </w:rPr>
              <w:t>)</w:t>
            </w:r>
          </w:p>
        </w:tc>
        <w:tc>
          <w:tcPr>
            <w:tcW w:w="3484" w:type="dxa"/>
            <w:tcMar>
              <w:top w:w="0" w:type="dxa"/>
              <w:left w:w="108" w:type="dxa"/>
              <w:bottom w:w="0" w:type="dxa"/>
              <w:right w:w="108" w:type="dxa"/>
            </w:tcMar>
          </w:tcPr>
          <w:p w:rsidR="008553F2" w:rsidRPr="00477670" w:rsidRDefault="008553F2" w:rsidP="007E08EC">
            <w:pPr>
              <w:rPr>
                <w:b/>
                <w:sz w:val="24"/>
                <w:szCs w:val="24"/>
              </w:rPr>
            </w:pPr>
          </w:p>
          <w:p w:rsidR="008553F2" w:rsidRPr="00477670" w:rsidRDefault="0044592F" w:rsidP="007E08EC">
            <w:pPr>
              <w:rPr>
                <w:b/>
                <w:sz w:val="24"/>
                <w:szCs w:val="24"/>
              </w:rPr>
            </w:pPr>
            <w:r w:rsidRPr="00477670">
              <w:rPr>
                <w:b/>
                <w:bCs/>
                <w:sz w:val="24"/>
                <w:szCs w:val="24"/>
              </w:rPr>
              <w:t>DOCKET NO</w:t>
            </w:r>
            <w:r w:rsidRPr="00477670">
              <w:rPr>
                <w:b/>
                <w:sz w:val="24"/>
                <w:szCs w:val="24"/>
              </w:rPr>
              <w:t xml:space="preserve">.  </w:t>
            </w:r>
            <w:r w:rsidR="00D56C05" w:rsidRPr="00477670">
              <w:rPr>
                <w:b/>
                <w:sz w:val="24"/>
                <w:szCs w:val="24"/>
              </w:rPr>
              <w:t>42166</w:t>
            </w:r>
          </w:p>
          <w:p w:rsidR="008553F2" w:rsidRPr="00477670" w:rsidRDefault="008553F2" w:rsidP="00D56C05">
            <w:pPr>
              <w:rPr>
                <w:b/>
                <w:sz w:val="24"/>
                <w:szCs w:val="24"/>
              </w:rPr>
            </w:pPr>
          </w:p>
        </w:tc>
      </w:tr>
    </w:tbl>
    <w:p w:rsidR="00454D5E" w:rsidRPr="00477670" w:rsidRDefault="0044592F" w:rsidP="007E08EC">
      <w:pPr>
        <w:kinsoku w:val="0"/>
        <w:overflowPunct w:val="0"/>
        <w:autoSpaceDE/>
        <w:autoSpaceDN/>
        <w:adjustRightInd/>
        <w:spacing w:before="219" w:line="270" w:lineRule="exact"/>
        <w:jc w:val="center"/>
        <w:textAlignment w:val="baseline"/>
        <w:rPr>
          <w:b/>
          <w:bCs/>
          <w:spacing w:val="6"/>
          <w:sz w:val="24"/>
          <w:szCs w:val="24"/>
          <w:u w:val="single"/>
        </w:rPr>
      </w:pPr>
      <w:r w:rsidRPr="00477670">
        <w:rPr>
          <w:b/>
          <w:bCs/>
          <w:spacing w:val="6"/>
          <w:sz w:val="24"/>
          <w:szCs w:val="24"/>
          <w:u w:val="single"/>
        </w:rPr>
        <w:br/>
        <w:t>SETTLEMENT AGREEMENT</w:t>
      </w:r>
    </w:p>
    <w:p w:rsidR="00454D5E" w:rsidRPr="00477670" w:rsidRDefault="0044592F" w:rsidP="007E08EC">
      <w:pPr>
        <w:kinsoku w:val="0"/>
        <w:overflowPunct w:val="0"/>
        <w:autoSpaceDE/>
        <w:autoSpaceDN/>
        <w:adjustRightInd/>
        <w:spacing w:before="271" w:line="277" w:lineRule="exact"/>
        <w:ind w:firstLine="720"/>
        <w:jc w:val="both"/>
        <w:textAlignment w:val="baseline"/>
        <w:rPr>
          <w:spacing w:val="5"/>
          <w:sz w:val="24"/>
          <w:szCs w:val="24"/>
        </w:rPr>
      </w:pPr>
      <w:r w:rsidRPr="00477670">
        <w:rPr>
          <w:spacing w:val="5"/>
          <w:sz w:val="24"/>
          <w:szCs w:val="24"/>
        </w:rPr>
        <w:t xml:space="preserve">The Georgia Public Service Commission </w:t>
      </w:r>
      <w:r w:rsidR="00D03651">
        <w:rPr>
          <w:spacing w:val="5"/>
          <w:sz w:val="24"/>
          <w:szCs w:val="24"/>
        </w:rPr>
        <w:t>(“</w:t>
      </w:r>
      <w:r w:rsidRPr="00477670">
        <w:rPr>
          <w:spacing w:val="5"/>
          <w:sz w:val="24"/>
          <w:szCs w:val="24"/>
        </w:rPr>
        <w:t>Commission</w:t>
      </w:r>
      <w:r w:rsidR="00D03651">
        <w:rPr>
          <w:spacing w:val="5"/>
          <w:sz w:val="24"/>
          <w:szCs w:val="24"/>
        </w:rPr>
        <w:t>”</w:t>
      </w:r>
      <w:r w:rsidRPr="00477670">
        <w:rPr>
          <w:spacing w:val="5"/>
          <w:sz w:val="24"/>
          <w:szCs w:val="24"/>
        </w:rPr>
        <w:t>) and Atlanta Gas Light Company (</w:t>
      </w:r>
      <w:r w:rsidR="00D03651">
        <w:rPr>
          <w:spacing w:val="5"/>
          <w:sz w:val="24"/>
          <w:szCs w:val="24"/>
        </w:rPr>
        <w:t>“</w:t>
      </w:r>
      <w:r w:rsidRPr="00477670">
        <w:rPr>
          <w:spacing w:val="5"/>
          <w:sz w:val="24"/>
          <w:szCs w:val="24"/>
        </w:rPr>
        <w:t>AGL,</w:t>
      </w:r>
      <w:r w:rsidR="00D03651">
        <w:rPr>
          <w:spacing w:val="5"/>
          <w:sz w:val="24"/>
          <w:szCs w:val="24"/>
        </w:rPr>
        <w:t>”</w:t>
      </w:r>
      <w:r w:rsidRPr="00477670">
        <w:rPr>
          <w:spacing w:val="5"/>
          <w:sz w:val="24"/>
          <w:szCs w:val="24"/>
        </w:rPr>
        <w:t xml:space="preserve"> </w:t>
      </w:r>
      <w:r w:rsidR="00D03651">
        <w:rPr>
          <w:spacing w:val="5"/>
          <w:sz w:val="24"/>
          <w:szCs w:val="24"/>
        </w:rPr>
        <w:t>“</w:t>
      </w:r>
      <w:r w:rsidRPr="00477670">
        <w:rPr>
          <w:spacing w:val="5"/>
          <w:sz w:val="24"/>
          <w:szCs w:val="24"/>
        </w:rPr>
        <w:t>Company</w:t>
      </w:r>
      <w:r w:rsidR="00D03651">
        <w:rPr>
          <w:spacing w:val="5"/>
          <w:sz w:val="24"/>
          <w:szCs w:val="24"/>
        </w:rPr>
        <w:t>”</w:t>
      </w:r>
      <w:r w:rsidRPr="00477670">
        <w:rPr>
          <w:spacing w:val="5"/>
          <w:sz w:val="24"/>
          <w:szCs w:val="24"/>
        </w:rPr>
        <w:t xml:space="preserve"> or </w:t>
      </w:r>
      <w:r w:rsidR="00D03651">
        <w:rPr>
          <w:spacing w:val="5"/>
          <w:sz w:val="24"/>
          <w:szCs w:val="24"/>
        </w:rPr>
        <w:t>“</w:t>
      </w:r>
      <w:r w:rsidRPr="00477670">
        <w:rPr>
          <w:spacing w:val="5"/>
          <w:sz w:val="24"/>
          <w:szCs w:val="24"/>
        </w:rPr>
        <w:t>Respondent</w:t>
      </w:r>
      <w:r w:rsidR="00D03651">
        <w:rPr>
          <w:spacing w:val="5"/>
          <w:sz w:val="24"/>
          <w:szCs w:val="24"/>
        </w:rPr>
        <w:t>”</w:t>
      </w:r>
      <w:r w:rsidRPr="00477670">
        <w:rPr>
          <w:spacing w:val="5"/>
          <w:sz w:val="24"/>
          <w:szCs w:val="24"/>
        </w:rPr>
        <w:t>) hereby agree to presentation of the following proposed disposition of the above-styled matter:</w:t>
      </w:r>
    </w:p>
    <w:p w:rsidR="00454D5E" w:rsidRPr="00477670" w:rsidRDefault="0044592F" w:rsidP="007E08EC">
      <w:pPr>
        <w:kinsoku w:val="0"/>
        <w:overflowPunct w:val="0"/>
        <w:autoSpaceDE/>
        <w:autoSpaceDN/>
        <w:adjustRightInd/>
        <w:spacing w:before="271" w:line="282" w:lineRule="exact"/>
        <w:ind w:firstLine="720"/>
        <w:jc w:val="both"/>
        <w:textAlignment w:val="baseline"/>
        <w:rPr>
          <w:sz w:val="24"/>
          <w:szCs w:val="24"/>
        </w:rPr>
      </w:pPr>
      <w:r w:rsidRPr="00477670">
        <w:rPr>
          <w:sz w:val="24"/>
          <w:szCs w:val="24"/>
        </w:rPr>
        <w:t xml:space="preserve">Whereas, AGL </w:t>
      </w:r>
      <w:r w:rsidR="00DB241A">
        <w:rPr>
          <w:sz w:val="24"/>
          <w:szCs w:val="24"/>
        </w:rPr>
        <w:t>and the Commission</w:t>
      </w:r>
      <w:r w:rsidRPr="00477670">
        <w:rPr>
          <w:sz w:val="24"/>
          <w:szCs w:val="24"/>
        </w:rPr>
        <w:t xml:space="preserve"> desir</w:t>
      </w:r>
      <w:r w:rsidR="00DB241A">
        <w:rPr>
          <w:sz w:val="24"/>
          <w:szCs w:val="24"/>
        </w:rPr>
        <w:t>e to</w:t>
      </w:r>
      <w:r w:rsidRPr="00477670">
        <w:rPr>
          <w:sz w:val="24"/>
          <w:szCs w:val="24"/>
        </w:rPr>
        <w:t xml:space="preserve"> resolv</w:t>
      </w:r>
      <w:r w:rsidR="00DB241A">
        <w:rPr>
          <w:sz w:val="24"/>
          <w:szCs w:val="24"/>
        </w:rPr>
        <w:t>e</w:t>
      </w:r>
      <w:r w:rsidRPr="00477670">
        <w:rPr>
          <w:sz w:val="24"/>
          <w:szCs w:val="24"/>
        </w:rPr>
        <w:t xml:space="preserve"> the issues raised in these proceedings in the manner set forth herein;</w:t>
      </w:r>
    </w:p>
    <w:p w:rsidR="00235249" w:rsidRDefault="0044592F" w:rsidP="00235249">
      <w:pPr>
        <w:kinsoku w:val="0"/>
        <w:overflowPunct w:val="0"/>
        <w:autoSpaceDE/>
        <w:autoSpaceDN/>
        <w:adjustRightInd/>
        <w:spacing w:before="281" w:line="276" w:lineRule="exact"/>
        <w:ind w:firstLine="720"/>
        <w:jc w:val="both"/>
        <w:textAlignment w:val="baseline"/>
        <w:rPr>
          <w:sz w:val="24"/>
          <w:szCs w:val="24"/>
        </w:rPr>
      </w:pPr>
      <w:r w:rsidRPr="00477670">
        <w:rPr>
          <w:sz w:val="24"/>
          <w:szCs w:val="24"/>
        </w:rPr>
        <w:t>Whereas, AGL enters into this Settlement Agreement without admitting any of the facts or findings contained in said In</w:t>
      </w:r>
      <w:r w:rsidR="00D56C05" w:rsidRPr="00477670">
        <w:rPr>
          <w:sz w:val="24"/>
          <w:szCs w:val="24"/>
        </w:rPr>
        <w:t>cident</w:t>
      </w:r>
      <w:r w:rsidRPr="00477670">
        <w:rPr>
          <w:sz w:val="24"/>
          <w:szCs w:val="24"/>
        </w:rPr>
        <w:t xml:space="preserve"> Report and Notice of Probable Violations, without admitting any impropriety and without admitting any violation of any applicable rules, regulations or laws and, in particular, without admitting liability for any of the probable violations set forth herein;</w:t>
      </w:r>
    </w:p>
    <w:p w:rsidR="00B225D7" w:rsidRDefault="0044592F" w:rsidP="00284802">
      <w:pPr>
        <w:kinsoku w:val="0"/>
        <w:overflowPunct w:val="0"/>
        <w:autoSpaceDE/>
        <w:autoSpaceDN/>
        <w:adjustRightInd/>
        <w:spacing w:before="281" w:line="276" w:lineRule="exact"/>
        <w:ind w:firstLine="720"/>
        <w:jc w:val="both"/>
        <w:textAlignment w:val="baseline"/>
        <w:rPr>
          <w:sz w:val="24"/>
          <w:szCs w:val="24"/>
        </w:rPr>
      </w:pPr>
      <w:r>
        <w:rPr>
          <w:sz w:val="24"/>
          <w:szCs w:val="24"/>
        </w:rPr>
        <w:t xml:space="preserve">Whereas, </w:t>
      </w:r>
      <w:r w:rsidR="00823372">
        <w:rPr>
          <w:sz w:val="24"/>
          <w:szCs w:val="24"/>
        </w:rPr>
        <w:t>t</w:t>
      </w:r>
      <w:r w:rsidR="00823372" w:rsidRPr="00284802">
        <w:rPr>
          <w:sz w:val="24"/>
          <w:szCs w:val="24"/>
        </w:rPr>
        <w:t xml:space="preserve">his </w:t>
      </w:r>
      <w:r w:rsidR="00823372">
        <w:rPr>
          <w:sz w:val="24"/>
          <w:szCs w:val="24"/>
        </w:rPr>
        <w:t>Settlement</w:t>
      </w:r>
      <w:r w:rsidR="00823372" w:rsidRPr="00284802">
        <w:rPr>
          <w:sz w:val="24"/>
          <w:szCs w:val="24"/>
        </w:rPr>
        <w:t xml:space="preserve"> Agreement shall not constitute</w:t>
      </w:r>
      <w:r w:rsidR="00823372">
        <w:rPr>
          <w:sz w:val="24"/>
          <w:szCs w:val="24"/>
        </w:rPr>
        <w:t xml:space="preserve"> </w:t>
      </w:r>
      <w:r w:rsidR="00823372" w:rsidRPr="00284802">
        <w:rPr>
          <w:sz w:val="24"/>
          <w:szCs w:val="24"/>
        </w:rPr>
        <w:t xml:space="preserve">an admission against interest in this or any other proceeding, and if this </w:t>
      </w:r>
      <w:r w:rsidR="00823372">
        <w:rPr>
          <w:sz w:val="24"/>
          <w:szCs w:val="24"/>
        </w:rPr>
        <w:t>Settlement</w:t>
      </w:r>
      <w:r w:rsidR="00823372" w:rsidRPr="00284802">
        <w:rPr>
          <w:sz w:val="24"/>
          <w:szCs w:val="24"/>
        </w:rPr>
        <w:t xml:space="preserve"> Agreement</w:t>
      </w:r>
      <w:r w:rsidR="00823372">
        <w:rPr>
          <w:sz w:val="24"/>
          <w:szCs w:val="24"/>
        </w:rPr>
        <w:t xml:space="preserve"> </w:t>
      </w:r>
      <w:r w:rsidR="00823372" w:rsidRPr="00284802">
        <w:rPr>
          <w:sz w:val="24"/>
          <w:szCs w:val="24"/>
        </w:rPr>
        <w:t>is not approved, it shall not prejudice the ability of AGL or Staff to present evidence or the</w:t>
      </w:r>
      <w:r w:rsidR="00823372">
        <w:rPr>
          <w:sz w:val="24"/>
          <w:szCs w:val="24"/>
        </w:rPr>
        <w:t xml:space="preserve"> </w:t>
      </w:r>
      <w:r w:rsidR="00823372" w:rsidRPr="00284802">
        <w:rPr>
          <w:sz w:val="24"/>
          <w:szCs w:val="24"/>
        </w:rPr>
        <w:t>ability of the Commission to adjudicate these matters.</w:t>
      </w:r>
      <w:r w:rsidR="00823372" w:rsidRPr="00284802">
        <w:t xml:space="preserve"> </w:t>
      </w:r>
      <w:r w:rsidR="00DD5C5B">
        <w:t xml:space="preserve"> T</w:t>
      </w:r>
      <w:r>
        <w:rPr>
          <w:sz w:val="24"/>
          <w:szCs w:val="24"/>
        </w:rPr>
        <w:t>he Commission through adoption of this Settlement Agreement shall in no way be construed as condoning AGL’s or its contractor’s alleged conduct</w:t>
      </w:r>
      <w:r w:rsidR="00284802">
        <w:rPr>
          <w:sz w:val="24"/>
          <w:szCs w:val="24"/>
        </w:rPr>
        <w:t xml:space="preserve">, </w:t>
      </w:r>
      <w:r w:rsidR="00284802" w:rsidRPr="00284802">
        <w:rPr>
          <w:sz w:val="24"/>
          <w:szCs w:val="24"/>
        </w:rPr>
        <w:t>if such allegations were true. Nothing in</w:t>
      </w:r>
      <w:r w:rsidR="00284802">
        <w:rPr>
          <w:sz w:val="24"/>
          <w:szCs w:val="24"/>
        </w:rPr>
        <w:t xml:space="preserve"> </w:t>
      </w:r>
      <w:r w:rsidR="00284802" w:rsidRPr="00284802">
        <w:rPr>
          <w:sz w:val="24"/>
          <w:szCs w:val="24"/>
        </w:rPr>
        <w:t xml:space="preserve">this </w:t>
      </w:r>
      <w:r w:rsidR="00823372">
        <w:rPr>
          <w:sz w:val="24"/>
          <w:szCs w:val="24"/>
        </w:rPr>
        <w:t>Settlement</w:t>
      </w:r>
      <w:r w:rsidR="00284802" w:rsidRPr="00284802">
        <w:rPr>
          <w:sz w:val="24"/>
          <w:szCs w:val="24"/>
        </w:rPr>
        <w:t xml:space="preserve"> Agreement may be construed in this or any other proceeding as an</w:t>
      </w:r>
      <w:r w:rsidR="00823372">
        <w:rPr>
          <w:sz w:val="24"/>
          <w:szCs w:val="24"/>
        </w:rPr>
        <w:t xml:space="preserve"> admission by or an</w:t>
      </w:r>
      <w:r w:rsidR="00284802" w:rsidRPr="00284802">
        <w:rPr>
          <w:sz w:val="24"/>
          <w:szCs w:val="24"/>
        </w:rPr>
        <w:t xml:space="preserve"> allocation</w:t>
      </w:r>
      <w:r w:rsidR="00284802">
        <w:rPr>
          <w:sz w:val="24"/>
          <w:szCs w:val="24"/>
        </w:rPr>
        <w:t xml:space="preserve"> </w:t>
      </w:r>
      <w:r w:rsidR="00284802" w:rsidRPr="00284802">
        <w:rPr>
          <w:sz w:val="24"/>
          <w:szCs w:val="24"/>
        </w:rPr>
        <w:t xml:space="preserve">of fault </w:t>
      </w:r>
      <w:r w:rsidR="00284802">
        <w:rPr>
          <w:sz w:val="24"/>
          <w:szCs w:val="24"/>
        </w:rPr>
        <w:t>against</w:t>
      </w:r>
      <w:r w:rsidR="00284802" w:rsidRPr="00284802">
        <w:rPr>
          <w:sz w:val="24"/>
          <w:szCs w:val="24"/>
        </w:rPr>
        <w:t xml:space="preserve"> AGL</w:t>
      </w:r>
      <w:r w:rsidR="00DB3634">
        <w:rPr>
          <w:sz w:val="24"/>
          <w:szCs w:val="24"/>
        </w:rPr>
        <w:t xml:space="preserve">.  </w:t>
      </w:r>
    </w:p>
    <w:p w:rsidR="00454D5E" w:rsidRPr="00477670" w:rsidRDefault="0044592F" w:rsidP="007E08EC">
      <w:pPr>
        <w:kinsoku w:val="0"/>
        <w:overflowPunct w:val="0"/>
        <w:autoSpaceDE/>
        <w:autoSpaceDN/>
        <w:adjustRightInd/>
        <w:spacing w:before="273" w:line="280" w:lineRule="exact"/>
        <w:ind w:firstLine="720"/>
        <w:jc w:val="both"/>
        <w:textAlignment w:val="baseline"/>
        <w:rPr>
          <w:sz w:val="24"/>
          <w:szCs w:val="24"/>
        </w:rPr>
      </w:pPr>
      <w:r w:rsidRPr="00477670">
        <w:rPr>
          <w:sz w:val="24"/>
          <w:szCs w:val="24"/>
        </w:rPr>
        <w:t>Whereas, the Commission agrees that settlement consistent with the agreements made in this Settlement Agreement promotes administrative efficiency and is preferable to proceeding to a hearing on disputed issues;</w:t>
      </w:r>
    </w:p>
    <w:p w:rsidR="00454D5E" w:rsidRPr="00477670" w:rsidRDefault="0044592F" w:rsidP="008D7042">
      <w:pPr>
        <w:kinsoku w:val="0"/>
        <w:overflowPunct w:val="0"/>
        <w:autoSpaceDE/>
        <w:autoSpaceDN/>
        <w:adjustRightInd/>
        <w:spacing w:before="289" w:line="265" w:lineRule="exact"/>
        <w:ind w:firstLine="720"/>
        <w:textAlignment w:val="baseline"/>
        <w:rPr>
          <w:spacing w:val="3"/>
          <w:sz w:val="24"/>
          <w:szCs w:val="24"/>
        </w:rPr>
      </w:pPr>
      <w:r w:rsidRPr="00477670">
        <w:rPr>
          <w:spacing w:val="3"/>
          <w:sz w:val="24"/>
          <w:szCs w:val="24"/>
        </w:rPr>
        <w:t>It is hereby agreed as follows:</w:t>
      </w:r>
    </w:p>
    <w:p w:rsidR="007E08EC" w:rsidRPr="00477670" w:rsidRDefault="0044592F" w:rsidP="00253ABC">
      <w:pPr>
        <w:kinsoku w:val="0"/>
        <w:overflowPunct w:val="0"/>
        <w:autoSpaceDE/>
        <w:autoSpaceDN/>
        <w:adjustRightInd/>
        <w:spacing w:before="563" w:line="270" w:lineRule="exact"/>
        <w:jc w:val="center"/>
        <w:textAlignment w:val="baseline"/>
        <w:rPr>
          <w:b/>
          <w:bCs/>
          <w:spacing w:val="5"/>
          <w:sz w:val="24"/>
          <w:szCs w:val="24"/>
          <w:u w:val="single"/>
        </w:rPr>
      </w:pPr>
      <w:r w:rsidRPr="00477670">
        <w:rPr>
          <w:b/>
          <w:bCs/>
          <w:spacing w:val="5"/>
          <w:sz w:val="24"/>
          <w:szCs w:val="24"/>
          <w:u w:val="single"/>
        </w:rPr>
        <w:t>FINDINGS AND CONCLUSIONS</w:t>
      </w:r>
    </w:p>
    <w:p w:rsidR="00253ABC" w:rsidRPr="00477670" w:rsidRDefault="00253ABC" w:rsidP="00253ABC">
      <w:pPr>
        <w:kinsoku w:val="0"/>
        <w:overflowPunct w:val="0"/>
        <w:autoSpaceDE/>
        <w:autoSpaceDN/>
        <w:adjustRightInd/>
        <w:spacing w:line="276" w:lineRule="exact"/>
        <w:textAlignment w:val="baseline"/>
        <w:rPr>
          <w:sz w:val="24"/>
          <w:szCs w:val="24"/>
        </w:rPr>
      </w:pPr>
    </w:p>
    <w:p w:rsidR="00253ABC" w:rsidRPr="00477670" w:rsidRDefault="0044592F" w:rsidP="00253ABC">
      <w:pPr>
        <w:kinsoku w:val="0"/>
        <w:overflowPunct w:val="0"/>
        <w:autoSpaceDE/>
        <w:autoSpaceDN/>
        <w:adjustRightInd/>
        <w:spacing w:line="276" w:lineRule="exact"/>
        <w:jc w:val="center"/>
        <w:textAlignment w:val="baseline"/>
        <w:rPr>
          <w:b/>
          <w:sz w:val="24"/>
          <w:szCs w:val="24"/>
        </w:rPr>
      </w:pPr>
      <w:r w:rsidRPr="00477670">
        <w:rPr>
          <w:b/>
          <w:sz w:val="24"/>
          <w:szCs w:val="24"/>
        </w:rPr>
        <w:t>1.</w:t>
      </w:r>
    </w:p>
    <w:p w:rsidR="00454D5E" w:rsidRPr="00477670" w:rsidRDefault="0044592F" w:rsidP="008D7042">
      <w:pPr>
        <w:kinsoku w:val="0"/>
        <w:overflowPunct w:val="0"/>
        <w:autoSpaceDE/>
        <w:autoSpaceDN/>
        <w:adjustRightInd/>
        <w:spacing w:line="276" w:lineRule="exact"/>
        <w:ind w:firstLine="720"/>
        <w:textAlignment w:val="baseline"/>
        <w:rPr>
          <w:sz w:val="24"/>
          <w:szCs w:val="24"/>
        </w:rPr>
      </w:pPr>
      <w:r w:rsidRPr="00477670">
        <w:rPr>
          <w:sz w:val="24"/>
          <w:szCs w:val="24"/>
        </w:rPr>
        <w:t xml:space="preserve">This Settlement Agreement is being offered </w:t>
      </w:r>
      <w:r w:rsidR="00477670" w:rsidRPr="00477670">
        <w:rPr>
          <w:sz w:val="24"/>
          <w:szCs w:val="24"/>
        </w:rPr>
        <w:t>under</w:t>
      </w:r>
      <w:r w:rsidRPr="00477670">
        <w:rPr>
          <w:i/>
          <w:iCs/>
          <w:sz w:val="24"/>
          <w:szCs w:val="24"/>
        </w:rPr>
        <w:t xml:space="preserve">: </w:t>
      </w:r>
      <w:r w:rsidRPr="00477670">
        <w:rPr>
          <w:sz w:val="24"/>
          <w:szCs w:val="24"/>
        </w:rPr>
        <w:t>49 U.S.C</w:t>
      </w:r>
      <w:r w:rsidR="00894C60">
        <w:rPr>
          <w:sz w:val="24"/>
          <w:szCs w:val="24"/>
        </w:rPr>
        <w:t>.S. § 60122; 49 C.F.R. § 192.605(a)</w:t>
      </w:r>
      <w:r w:rsidRPr="00477670">
        <w:rPr>
          <w:sz w:val="24"/>
          <w:szCs w:val="24"/>
        </w:rPr>
        <w:t xml:space="preserve">; </w:t>
      </w:r>
      <w:r w:rsidR="00894C60">
        <w:rPr>
          <w:sz w:val="24"/>
          <w:szCs w:val="24"/>
        </w:rPr>
        <w:t xml:space="preserve">49 C.F.R. § 192.614(a); 49 C.F.R. § 192.615(a); 49 C.F.R. § 192.617; 49 C.F.R. § 199.105(c)(2); 49 C.F.R. § 199.225(a)(1); </w:t>
      </w:r>
      <w:r w:rsidRPr="00477670">
        <w:rPr>
          <w:sz w:val="24"/>
          <w:szCs w:val="24"/>
        </w:rPr>
        <w:t>O.C.G.A. §§ 46-2-20, 46-2-21</w:t>
      </w:r>
      <w:r w:rsidR="004524C2">
        <w:rPr>
          <w:sz w:val="24"/>
          <w:szCs w:val="24"/>
        </w:rPr>
        <w:t>(b)(5), 46-2-30, 46-2-</w:t>
      </w:r>
      <w:r w:rsidR="004524C2">
        <w:rPr>
          <w:sz w:val="24"/>
          <w:szCs w:val="24"/>
        </w:rPr>
        <w:lastRenderedPageBreak/>
        <w:t xml:space="preserve">91, </w:t>
      </w:r>
      <w:r w:rsidRPr="00477670">
        <w:rPr>
          <w:sz w:val="24"/>
          <w:szCs w:val="24"/>
        </w:rPr>
        <w:t xml:space="preserve">46-4-31, 46-4-34, </w:t>
      </w:r>
      <w:r w:rsidR="004524C2">
        <w:rPr>
          <w:sz w:val="24"/>
          <w:szCs w:val="24"/>
        </w:rPr>
        <w:t xml:space="preserve">and </w:t>
      </w:r>
      <w:r w:rsidRPr="00477670">
        <w:rPr>
          <w:sz w:val="24"/>
          <w:szCs w:val="24"/>
        </w:rPr>
        <w:t>46-4-35</w:t>
      </w:r>
      <w:r w:rsidRPr="00477670">
        <w:rPr>
          <w:i/>
          <w:iCs/>
          <w:sz w:val="24"/>
          <w:szCs w:val="24"/>
        </w:rPr>
        <w:t xml:space="preserve">.; </w:t>
      </w:r>
      <w:r w:rsidRPr="00477670">
        <w:rPr>
          <w:sz w:val="24"/>
          <w:szCs w:val="24"/>
        </w:rPr>
        <w:t>and Georgia Public Service Commission Ru</w:t>
      </w:r>
      <w:r w:rsidR="004524C2">
        <w:rPr>
          <w:sz w:val="24"/>
          <w:szCs w:val="24"/>
        </w:rPr>
        <w:t xml:space="preserve">les 515-9-1-.06, 515-9-3; </w:t>
      </w:r>
      <w:r w:rsidRPr="00477670">
        <w:rPr>
          <w:sz w:val="24"/>
          <w:szCs w:val="24"/>
        </w:rPr>
        <w:t>and 515-9-6-.01; all regarding the safe installation and operation of gas distribution systems within the State of Georgia.</w:t>
      </w:r>
    </w:p>
    <w:p w:rsidR="00253ABC" w:rsidRPr="00477670" w:rsidRDefault="00253ABC" w:rsidP="00CF133F">
      <w:pPr>
        <w:kinsoku w:val="0"/>
        <w:overflowPunct w:val="0"/>
        <w:autoSpaceDE/>
        <w:autoSpaceDN/>
        <w:adjustRightInd/>
        <w:spacing w:before="3" w:line="274" w:lineRule="exact"/>
        <w:jc w:val="center"/>
        <w:textAlignment w:val="baseline"/>
        <w:rPr>
          <w:b/>
          <w:sz w:val="24"/>
          <w:szCs w:val="24"/>
        </w:rPr>
      </w:pPr>
    </w:p>
    <w:p w:rsidR="00CF133F" w:rsidRPr="00477670" w:rsidRDefault="0044592F" w:rsidP="00253ABC">
      <w:pPr>
        <w:kinsoku w:val="0"/>
        <w:overflowPunct w:val="0"/>
        <w:autoSpaceDE/>
        <w:autoSpaceDN/>
        <w:adjustRightInd/>
        <w:spacing w:before="3" w:line="274" w:lineRule="exact"/>
        <w:jc w:val="center"/>
        <w:textAlignment w:val="baseline"/>
        <w:rPr>
          <w:b/>
          <w:sz w:val="24"/>
          <w:szCs w:val="24"/>
        </w:rPr>
      </w:pPr>
      <w:r w:rsidRPr="00477670">
        <w:rPr>
          <w:b/>
          <w:sz w:val="24"/>
          <w:szCs w:val="24"/>
        </w:rPr>
        <w:t>2.</w:t>
      </w:r>
    </w:p>
    <w:p w:rsidR="00454D5E" w:rsidRPr="00477670" w:rsidRDefault="0044592F" w:rsidP="00CF133F">
      <w:pPr>
        <w:kinsoku w:val="0"/>
        <w:overflowPunct w:val="0"/>
        <w:autoSpaceDE/>
        <w:autoSpaceDN/>
        <w:adjustRightInd/>
        <w:spacing w:before="3" w:line="274" w:lineRule="exact"/>
        <w:ind w:firstLine="720"/>
        <w:jc w:val="both"/>
        <w:textAlignment w:val="baseline"/>
        <w:rPr>
          <w:sz w:val="24"/>
          <w:szCs w:val="24"/>
        </w:rPr>
      </w:pPr>
      <w:r w:rsidRPr="00477670">
        <w:rPr>
          <w:sz w:val="24"/>
          <w:szCs w:val="24"/>
        </w:rPr>
        <w:t>In accordance with the aforementioned legal citations in Paragraph 1 above</w:t>
      </w:r>
      <w:r w:rsidRPr="00477670">
        <w:rPr>
          <w:i/>
          <w:iCs/>
          <w:sz w:val="24"/>
          <w:szCs w:val="24"/>
        </w:rPr>
        <w:t xml:space="preserve">, </w:t>
      </w:r>
      <w:r w:rsidRPr="00477670">
        <w:rPr>
          <w:sz w:val="24"/>
          <w:szCs w:val="24"/>
        </w:rPr>
        <w:t>the Facilities Protection Unit Staff of the Commission has the authority to inspect the facilities of Georgia's natural gas providers pursuant to the laws cited herein and to seek the imposition of pen</w:t>
      </w:r>
      <w:r w:rsidR="00CF133F" w:rsidRPr="00477670">
        <w:rPr>
          <w:sz w:val="24"/>
          <w:szCs w:val="24"/>
        </w:rPr>
        <w:t>alties for probable violations.</w:t>
      </w:r>
    </w:p>
    <w:p w:rsidR="00CF133F" w:rsidRPr="00477670" w:rsidRDefault="00CF133F" w:rsidP="00CF133F">
      <w:pPr>
        <w:kinsoku w:val="0"/>
        <w:overflowPunct w:val="0"/>
        <w:autoSpaceDE/>
        <w:autoSpaceDN/>
        <w:adjustRightInd/>
        <w:spacing w:before="3" w:line="274" w:lineRule="exact"/>
        <w:jc w:val="both"/>
        <w:textAlignment w:val="baseline"/>
        <w:rPr>
          <w:sz w:val="24"/>
          <w:szCs w:val="24"/>
        </w:rPr>
      </w:pPr>
    </w:p>
    <w:p w:rsidR="00CF133F" w:rsidRPr="00477670" w:rsidRDefault="0044592F" w:rsidP="00CF133F">
      <w:pPr>
        <w:kinsoku w:val="0"/>
        <w:overflowPunct w:val="0"/>
        <w:autoSpaceDE/>
        <w:autoSpaceDN/>
        <w:adjustRightInd/>
        <w:spacing w:before="3" w:line="274" w:lineRule="exact"/>
        <w:jc w:val="center"/>
        <w:textAlignment w:val="baseline"/>
        <w:rPr>
          <w:b/>
          <w:sz w:val="24"/>
          <w:szCs w:val="24"/>
        </w:rPr>
      </w:pPr>
      <w:r w:rsidRPr="00477670">
        <w:rPr>
          <w:b/>
          <w:sz w:val="24"/>
          <w:szCs w:val="24"/>
        </w:rPr>
        <w:t>3.</w:t>
      </w:r>
    </w:p>
    <w:p w:rsidR="00454D5E" w:rsidRPr="00477670" w:rsidRDefault="0044592F" w:rsidP="007E08EC">
      <w:pPr>
        <w:kinsoku w:val="0"/>
        <w:overflowPunct w:val="0"/>
        <w:autoSpaceDE/>
        <w:autoSpaceDN/>
        <w:adjustRightInd/>
        <w:spacing w:before="5" w:line="275" w:lineRule="exact"/>
        <w:ind w:firstLine="720"/>
        <w:jc w:val="both"/>
        <w:textAlignment w:val="baseline"/>
        <w:rPr>
          <w:sz w:val="24"/>
          <w:szCs w:val="24"/>
        </w:rPr>
      </w:pPr>
      <w:r w:rsidRPr="00477670">
        <w:rPr>
          <w:sz w:val="24"/>
          <w:szCs w:val="24"/>
        </w:rPr>
        <w:t>The Company is a natural gas operator in the State of Georgia with gas transmission and distribution system</w:t>
      </w:r>
      <w:r w:rsidR="00DB241A">
        <w:rPr>
          <w:sz w:val="24"/>
          <w:szCs w:val="24"/>
        </w:rPr>
        <w:t>s</w:t>
      </w:r>
      <w:r w:rsidRPr="00477670">
        <w:rPr>
          <w:sz w:val="24"/>
          <w:szCs w:val="24"/>
        </w:rPr>
        <w:t xml:space="preserve"> in and around the State; all of which are subject to</w:t>
      </w:r>
      <w:r w:rsidR="007E08EC" w:rsidRPr="00477670">
        <w:rPr>
          <w:sz w:val="24"/>
          <w:szCs w:val="24"/>
        </w:rPr>
        <w:t xml:space="preserve"> the Commission's jurisdiction.</w:t>
      </w:r>
    </w:p>
    <w:p w:rsidR="007E08EC" w:rsidRPr="00477670" w:rsidRDefault="007E08EC" w:rsidP="007E08EC">
      <w:pPr>
        <w:kinsoku w:val="0"/>
        <w:overflowPunct w:val="0"/>
        <w:autoSpaceDE/>
        <w:autoSpaceDN/>
        <w:adjustRightInd/>
        <w:spacing w:before="5" w:line="275" w:lineRule="exact"/>
        <w:ind w:firstLine="720"/>
        <w:jc w:val="both"/>
        <w:textAlignment w:val="baseline"/>
        <w:rPr>
          <w:sz w:val="24"/>
          <w:szCs w:val="24"/>
        </w:rPr>
      </w:pPr>
    </w:p>
    <w:p w:rsidR="007E08EC" w:rsidRPr="00477670" w:rsidRDefault="0044592F" w:rsidP="007E08EC">
      <w:pPr>
        <w:kinsoku w:val="0"/>
        <w:overflowPunct w:val="0"/>
        <w:autoSpaceDE/>
        <w:autoSpaceDN/>
        <w:adjustRightInd/>
        <w:spacing w:before="5" w:line="275" w:lineRule="exact"/>
        <w:jc w:val="center"/>
        <w:textAlignment w:val="baseline"/>
        <w:rPr>
          <w:b/>
          <w:sz w:val="24"/>
          <w:szCs w:val="24"/>
        </w:rPr>
      </w:pPr>
      <w:r w:rsidRPr="00477670">
        <w:rPr>
          <w:b/>
          <w:sz w:val="24"/>
          <w:szCs w:val="24"/>
        </w:rPr>
        <w:t>4.</w:t>
      </w:r>
    </w:p>
    <w:p w:rsidR="00454D5E" w:rsidRPr="00477670" w:rsidRDefault="0044592F" w:rsidP="00CF133F">
      <w:pPr>
        <w:kinsoku w:val="0"/>
        <w:overflowPunct w:val="0"/>
        <w:autoSpaceDE/>
        <w:autoSpaceDN/>
        <w:adjustRightInd/>
        <w:spacing w:before="3" w:line="274" w:lineRule="exact"/>
        <w:ind w:firstLine="720"/>
        <w:jc w:val="both"/>
        <w:textAlignment w:val="baseline"/>
        <w:rPr>
          <w:spacing w:val="6"/>
          <w:sz w:val="24"/>
          <w:szCs w:val="24"/>
        </w:rPr>
      </w:pPr>
      <w:r w:rsidRPr="00477670">
        <w:rPr>
          <w:spacing w:val="6"/>
          <w:sz w:val="24"/>
          <w:szCs w:val="24"/>
        </w:rPr>
        <w:t>As a natural gas transmission and distribution system operator, Respondent is subject to the requirements of 49 U.S.C.</w:t>
      </w:r>
      <w:r w:rsidR="0009712F">
        <w:rPr>
          <w:spacing w:val="6"/>
          <w:sz w:val="24"/>
          <w:szCs w:val="24"/>
        </w:rPr>
        <w:t xml:space="preserve">S. § 60122, 49 C.F.R. Parts 191, </w:t>
      </w:r>
      <w:r w:rsidRPr="00477670">
        <w:rPr>
          <w:spacing w:val="6"/>
          <w:sz w:val="24"/>
          <w:szCs w:val="24"/>
        </w:rPr>
        <w:t>192</w:t>
      </w:r>
      <w:r w:rsidR="0009712F">
        <w:rPr>
          <w:spacing w:val="6"/>
          <w:sz w:val="24"/>
          <w:szCs w:val="24"/>
        </w:rPr>
        <w:t>, and 199</w:t>
      </w:r>
      <w:r w:rsidR="00CF133F" w:rsidRPr="00477670">
        <w:rPr>
          <w:spacing w:val="6"/>
          <w:sz w:val="24"/>
          <w:szCs w:val="24"/>
        </w:rPr>
        <w:t>.</w:t>
      </w:r>
    </w:p>
    <w:p w:rsidR="00CF133F" w:rsidRPr="00477670" w:rsidRDefault="00CF133F" w:rsidP="00CF133F">
      <w:pPr>
        <w:kinsoku w:val="0"/>
        <w:overflowPunct w:val="0"/>
        <w:autoSpaceDE/>
        <w:autoSpaceDN/>
        <w:adjustRightInd/>
        <w:spacing w:before="3" w:line="274" w:lineRule="exact"/>
        <w:jc w:val="both"/>
        <w:textAlignment w:val="baseline"/>
        <w:rPr>
          <w:spacing w:val="6"/>
          <w:sz w:val="24"/>
          <w:szCs w:val="24"/>
        </w:rPr>
      </w:pPr>
    </w:p>
    <w:p w:rsidR="00CF133F" w:rsidRPr="00477670" w:rsidRDefault="0044592F" w:rsidP="00CF133F">
      <w:pPr>
        <w:kinsoku w:val="0"/>
        <w:overflowPunct w:val="0"/>
        <w:autoSpaceDE/>
        <w:autoSpaceDN/>
        <w:adjustRightInd/>
        <w:spacing w:before="3" w:line="274" w:lineRule="exact"/>
        <w:jc w:val="center"/>
        <w:textAlignment w:val="baseline"/>
        <w:rPr>
          <w:b/>
          <w:spacing w:val="6"/>
          <w:sz w:val="24"/>
          <w:szCs w:val="24"/>
        </w:rPr>
      </w:pPr>
      <w:r w:rsidRPr="00477670">
        <w:rPr>
          <w:b/>
          <w:spacing w:val="6"/>
          <w:sz w:val="24"/>
          <w:szCs w:val="24"/>
        </w:rPr>
        <w:t>5.</w:t>
      </w:r>
    </w:p>
    <w:p w:rsidR="00906911" w:rsidRPr="00477670" w:rsidRDefault="0044592F" w:rsidP="00C12130">
      <w:pPr>
        <w:kinsoku w:val="0"/>
        <w:overflowPunct w:val="0"/>
        <w:autoSpaceDE/>
        <w:autoSpaceDN/>
        <w:adjustRightInd/>
        <w:spacing w:before="4" w:line="276" w:lineRule="exact"/>
        <w:ind w:firstLine="720"/>
        <w:jc w:val="both"/>
        <w:textAlignment w:val="baseline"/>
        <w:rPr>
          <w:sz w:val="24"/>
          <w:szCs w:val="24"/>
        </w:rPr>
      </w:pPr>
      <w:r w:rsidRPr="00477670">
        <w:rPr>
          <w:sz w:val="24"/>
          <w:szCs w:val="24"/>
        </w:rPr>
        <w:t xml:space="preserve">On Aug 17, 2018, AGL notified the Commission of a natural gas explosion that occurred inside a commercial business at 23 E. Dame Avenue (the Coffee Corner) in Homerville, GA. There were three people inside the business at the time of the explosion </w:t>
      </w:r>
      <w:r w:rsidR="00DB241A">
        <w:rPr>
          <w:sz w:val="24"/>
          <w:szCs w:val="24"/>
        </w:rPr>
        <w:t>who</w:t>
      </w:r>
      <w:r w:rsidRPr="00477670">
        <w:rPr>
          <w:sz w:val="24"/>
          <w:szCs w:val="24"/>
        </w:rPr>
        <w:t xml:space="preserve"> were transported to a hospital in Gainesville, Florida with burns and other injuries. </w:t>
      </w:r>
    </w:p>
    <w:p w:rsidR="00CF133F" w:rsidRPr="00477670" w:rsidRDefault="0044592F" w:rsidP="00C12130">
      <w:pPr>
        <w:kinsoku w:val="0"/>
        <w:overflowPunct w:val="0"/>
        <w:autoSpaceDE/>
        <w:autoSpaceDN/>
        <w:adjustRightInd/>
        <w:spacing w:before="4" w:line="276" w:lineRule="exact"/>
        <w:jc w:val="center"/>
        <w:textAlignment w:val="baseline"/>
        <w:rPr>
          <w:b/>
          <w:sz w:val="24"/>
          <w:szCs w:val="24"/>
        </w:rPr>
      </w:pPr>
      <w:r w:rsidRPr="00477670">
        <w:rPr>
          <w:b/>
          <w:sz w:val="24"/>
          <w:szCs w:val="24"/>
        </w:rPr>
        <w:t>6.</w:t>
      </w:r>
    </w:p>
    <w:p w:rsidR="00CF133F" w:rsidRPr="00477670" w:rsidRDefault="0044592F" w:rsidP="00672DB7">
      <w:pPr>
        <w:kinsoku w:val="0"/>
        <w:overflowPunct w:val="0"/>
        <w:autoSpaceDE/>
        <w:autoSpaceDN/>
        <w:adjustRightInd/>
        <w:spacing w:before="1" w:line="275" w:lineRule="exact"/>
        <w:ind w:firstLine="720"/>
        <w:jc w:val="both"/>
        <w:textAlignment w:val="baseline"/>
        <w:rPr>
          <w:sz w:val="24"/>
          <w:szCs w:val="24"/>
        </w:rPr>
      </w:pPr>
      <w:r w:rsidRPr="00477670">
        <w:rPr>
          <w:sz w:val="24"/>
          <w:szCs w:val="24"/>
        </w:rPr>
        <w:t xml:space="preserve">On or about </w:t>
      </w:r>
      <w:r w:rsidR="00672DB7" w:rsidRPr="00477670">
        <w:rPr>
          <w:sz w:val="24"/>
          <w:szCs w:val="24"/>
        </w:rPr>
        <w:t>March 27, 2019</w:t>
      </w:r>
      <w:r w:rsidRPr="00477670">
        <w:rPr>
          <w:sz w:val="24"/>
          <w:szCs w:val="24"/>
        </w:rPr>
        <w:t xml:space="preserve">, </w:t>
      </w:r>
      <w:r w:rsidR="00C12130" w:rsidRPr="00477670">
        <w:rPr>
          <w:sz w:val="24"/>
          <w:szCs w:val="24"/>
        </w:rPr>
        <w:t>in accordance with</w:t>
      </w:r>
      <w:r w:rsidRPr="00477670">
        <w:rPr>
          <w:sz w:val="24"/>
          <w:szCs w:val="24"/>
        </w:rPr>
        <w:t xml:space="preserve"> Commission Rule 515-9-3-.08, AGL was notified in writing of </w:t>
      </w:r>
      <w:r w:rsidR="00477670">
        <w:rPr>
          <w:sz w:val="24"/>
          <w:szCs w:val="24"/>
        </w:rPr>
        <w:t>Notice of Probable Violations (</w:t>
      </w:r>
      <w:r w:rsidR="00D03651">
        <w:rPr>
          <w:sz w:val="24"/>
          <w:szCs w:val="24"/>
        </w:rPr>
        <w:t>“</w:t>
      </w:r>
      <w:r w:rsidR="00477670">
        <w:rPr>
          <w:sz w:val="24"/>
          <w:szCs w:val="24"/>
        </w:rPr>
        <w:t>NOPV</w:t>
      </w:r>
      <w:r w:rsidR="00D03651">
        <w:rPr>
          <w:sz w:val="24"/>
          <w:szCs w:val="24"/>
        </w:rPr>
        <w:t>”</w:t>
      </w:r>
      <w:r w:rsidRPr="00477670">
        <w:rPr>
          <w:sz w:val="24"/>
          <w:szCs w:val="24"/>
        </w:rPr>
        <w:t>) incorporated within the context of Staff's In</w:t>
      </w:r>
      <w:r w:rsidR="0009712F">
        <w:rPr>
          <w:sz w:val="24"/>
          <w:szCs w:val="24"/>
        </w:rPr>
        <w:t>cident</w:t>
      </w:r>
      <w:r w:rsidRPr="00477670">
        <w:rPr>
          <w:sz w:val="24"/>
          <w:szCs w:val="24"/>
        </w:rPr>
        <w:t xml:space="preserve"> Report, </w:t>
      </w:r>
      <w:r w:rsidR="00672DB7" w:rsidRPr="00477670">
        <w:rPr>
          <w:sz w:val="24"/>
          <w:szCs w:val="24"/>
        </w:rPr>
        <w:t>DL19-004 (filed in this Docket No. 42166</w:t>
      </w:r>
      <w:r w:rsidRPr="00477670">
        <w:rPr>
          <w:sz w:val="24"/>
          <w:szCs w:val="24"/>
        </w:rPr>
        <w:t xml:space="preserve"> on </w:t>
      </w:r>
      <w:r w:rsidR="00672DB7" w:rsidRPr="00477670">
        <w:rPr>
          <w:sz w:val="24"/>
          <w:szCs w:val="24"/>
        </w:rPr>
        <w:t>March 29, 2019</w:t>
      </w:r>
      <w:r w:rsidRPr="00477670">
        <w:rPr>
          <w:sz w:val="24"/>
          <w:szCs w:val="24"/>
        </w:rPr>
        <w:t xml:space="preserve">), </w:t>
      </w:r>
      <w:r w:rsidR="004D4C8C">
        <w:rPr>
          <w:sz w:val="24"/>
          <w:szCs w:val="24"/>
        </w:rPr>
        <w:t>which</w:t>
      </w:r>
      <w:r w:rsidR="004D4C8C" w:rsidRPr="00477670">
        <w:rPr>
          <w:sz w:val="24"/>
          <w:szCs w:val="24"/>
        </w:rPr>
        <w:t xml:space="preserve"> </w:t>
      </w:r>
      <w:r w:rsidRPr="00477670">
        <w:rPr>
          <w:sz w:val="24"/>
          <w:szCs w:val="24"/>
        </w:rPr>
        <w:t>alleg</w:t>
      </w:r>
      <w:r w:rsidR="004D4C8C">
        <w:rPr>
          <w:sz w:val="24"/>
          <w:szCs w:val="24"/>
        </w:rPr>
        <w:t>ed</w:t>
      </w:r>
      <w:r w:rsidRPr="00477670">
        <w:rPr>
          <w:sz w:val="24"/>
          <w:szCs w:val="24"/>
        </w:rPr>
        <w:t xml:space="preserve"> actions/inactions on part of Respondent </w:t>
      </w:r>
      <w:r w:rsidR="00B779FC">
        <w:rPr>
          <w:sz w:val="24"/>
          <w:szCs w:val="24"/>
        </w:rPr>
        <w:t>in connection with the August 17, 2018 incident</w:t>
      </w:r>
      <w:r w:rsidRPr="00477670">
        <w:rPr>
          <w:sz w:val="24"/>
          <w:szCs w:val="24"/>
        </w:rPr>
        <w:t xml:space="preserve">. </w:t>
      </w:r>
    </w:p>
    <w:p w:rsidR="00454D5E" w:rsidRPr="00477670" w:rsidRDefault="0044592F" w:rsidP="00CF133F">
      <w:pPr>
        <w:kinsoku w:val="0"/>
        <w:overflowPunct w:val="0"/>
        <w:autoSpaceDE/>
        <w:autoSpaceDN/>
        <w:adjustRightInd/>
        <w:spacing w:before="293" w:line="272" w:lineRule="exact"/>
        <w:ind w:right="-19"/>
        <w:jc w:val="center"/>
        <w:textAlignment w:val="baseline"/>
        <w:rPr>
          <w:b/>
          <w:spacing w:val="5"/>
          <w:sz w:val="24"/>
          <w:szCs w:val="24"/>
        </w:rPr>
      </w:pPr>
      <w:r w:rsidRPr="00477670">
        <w:rPr>
          <w:b/>
          <w:spacing w:val="5"/>
          <w:sz w:val="24"/>
          <w:szCs w:val="24"/>
        </w:rPr>
        <w:t>AGREEMENTS</w:t>
      </w:r>
    </w:p>
    <w:p w:rsidR="00454D5E" w:rsidRPr="00477670" w:rsidRDefault="0044592F" w:rsidP="00BB0C0C">
      <w:pPr>
        <w:kinsoku w:val="0"/>
        <w:overflowPunct w:val="0"/>
        <w:autoSpaceDE/>
        <w:autoSpaceDN/>
        <w:adjustRightInd/>
        <w:spacing w:before="288" w:line="272" w:lineRule="exact"/>
        <w:ind w:firstLine="720"/>
        <w:jc w:val="both"/>
        <w:textAlignment w:val="baseline"/>
        <w:rPr>
          <w:sz w:val="24"/>
          <w:szCs w:val="24"/>
        </w:rPr>
      </w:pPr>
      <w:r w:rsidRPr="00477670">
        <w:rPr>
          <w:sz w:val="24"/>
          <w:szCs w:val="24"/>
        </w:rPr>
        <w:t>By signing below, AGL agree</w:t>
      </w:r>
      <w:r w:rsidR="008553F2" w:rsidRPr="00477670">
        <w:rPr>
          <w:sz w:val="24"/>
          <w:szCs w:val="24"/>
        </w:rPr>
        <w:t>s</w:t>
      </w:r>
      <w:r w:rsidRPr="00477670">
        <w:rPr>
          <w:sz w:val="24"/>
          <w:szCs w:val="24"/>
        </w:rPr>
        <w:t xml:space="preserve"> that all matters alleged in the NOPV outlined in Staff's written Investigation Report </w:t>
      </w:r>
      <w:r w:rsidR="00672DB7" w:rsidRPr="00477670">
        <w:rPr>
          <w:sz w:val="24"/>
          <w:szCs w:val="24"/>
        </w:rPr>
        <w:t>DL19-004</w:t>
      </w:r>
      <w:r w:rsidRPr="00477670">
        <w:rPr>
          <w:sz w:val="24"/>
          <w:szCs w:val="24"/>
        </w:rPr>
        <w:t xml:space="preserve"> should be settled as follows:</w:t>
      </w:r>
    </w:p>
    <w:p w:rsidR="00253ABC" w:rsidRPr="00477670" w:rsidRDefault="00253ABC" w:rsidP="00253ABC">
      <w:pPr>
        <w:widowControl/>
        <w:autoSpaceDE/>
        <w:autoSpaceDN/>
        <w:adjustRightInd/>
        <w:rPr>
          <w:b/>
          <w:spacing w:val="-8"/>
          <w:sz w:val="24"/>
          <w:szCs w:val="24"/>
        </w:rPr>
      </w:pPr>
    </w:p>
    <w:p w:rsidR="00454D5E" w:rsidRPr="00477670" w:rsidRDefault="0044592F" w:rsidP="00253ABC">
      <w:pPr>
        <w:widowControl/>
        <w:autoSpaceDE/>
        <w:autoSpaceDN/>
        <w:adjustRightInd/>
        <w:jc w:val="center"/>
        <w:rPr>
          <w:b/>
          <w:spacing w:val="-8"/>
          <w:sz w:val="24"/>
          <w:szCs w:val="24"/>
        </w:rPr>
      </w:pPr>
      <w:r w:rsidRPr="00477670">
        <w:rPr>
          <w:b/>
          <w:spacing w:val="-8"/>
          <w:sz w:val="24"/>
          <w:szCs w:val="24"/>
        </w:rPr>
        <w:t>1.</w:t>
      </w:r>
    </w:p>
    <w:p w:rsidR="00454D5E" w:rsidRPr="00477670" w:rsidRDefault="0044592F" w:rsidP="00CF133F">
      <w:pPr>
        <w:kinsoku w:val="0"/>
        <w:overflowPunct w:val="0"/>
        <w:autoSpaceDE/>
        <w:autoSpaceDN/>
        <w:adjustRightInd/>
        <w:spacing w:before="17" w:line="267" w:lineRule="exact"/>
        <w:ind w:firstLine="720"/>
        <w:jc w:val="both"/>
        <w:textAlignment w:val="baseline"/>
        <w:rPr>
          <w:sz w:val="24"/>
          <w:szCs w:val="24"/>
        </w:rPr>
      </w:pPr>
      <w:r w:rsidRPr="00477670">
        <w:rPr>
          <w:sz w:val="24"/>
          <w:szCs w:val="24"/>
        </w:rPr>
        <w:t xml:space="preserve">This Settlement Agreement, if approved by the Commission, </w:t>
      </w:r>
      <w:r w:rsidR="004D4C8C">
        <w:rPr>
          <w:sz w:val="24"/>
          <w:szCs w:val="24"/>
        </w:rPr>
        <w:t>wi</w:t>
      </w:r>
      <w:r w:rsidRPr="00477670">
        <w:rPr>
          <w:sz w:val="24"/>
          <w:szCs w:val="24"/>
        </w:rPr>
        <w:t>ll constitute a final</w:t>
      </w:r>
      <w:r w:rsidR="00CF133F" w:rsidRPr="00477670">
        <w:rPr>
          <w:sz w:val="24"/>
          <w:szCs w:val="24"/>
        </w:rPr>
        <w:t xml:space="preserve"> resolution of this proceeding</w:t>
      </w:r>
      <w:r w:rsidR="00906911">
        <w:rPr>
          <w:sz w:val="24"/>
          <w:szCs w:val="24"/>
        </w:rPr>
        <w:t xml:space="preserve"> and any other proceeding that could have been brought against AGL in connection with the August 17, 2018 incident</w:t>
      </w:r>
      <w:r w:rsidR="00CF133F" w:rsidRPr="00477670">
        <w:rPr>
          <w:sz w:val="24"/>
          <w:szCs w:val="24"/>
        </w:rPr>
        <w:t>.</w:t>
      </w:r>
    </w:p>
    <w:p w:rsidR="00CF133F" w:rsidRPr="00477670" w:rsidRDefault="00CF133F" w:rsidP="00CF133F">
      <w:pPr>
        <w:kinsoku w:val="0"/>
        <w:overflowPunct w:val="0"/>
        <w:autoSpaceDE/>
        <w:autoSpaceDN/>
        <w:adjustRightInd/>
        <w:spacing w:before="17" w:line="267" w:lineRule="exact"/>
        <w:jc w:val="both"/>
        <w:textAlignment w:val="baseline"/>
        <w:rPr>
          <w:sz w:val="24"/>
          <w:szCs w:val="24"/>
        </w:rPr>
      </w:pPr>
    </w:p>
    <w:p w:rsidR="00CF133F" w:rsidRPr="00477670" w:rsidRDefault="0044592F" w:rsidP="00477670">
      <w:pPr>
        <w:widowControl/>
        <w:autoSpaceDE/>
        <w:autoSpaceDN/>
        <w:adjustRightInd/>
        <w:jc w:val="center"/>
        <w:rPr>
          <w:b/>
          <w:sz w:val="24"/>
          <w:szCs w:val="24"/>
        </w:rPr>
      </w:pPr>
      <w:r w:rsidRPr="00477670">
        <w:rPr>
          <w:b/>
          <w:sz w:val="24"/>
          <w:szCs w:val="24"/>
        </w:rPr>
        <w:t>2.</w:t>
      </w:r>
    </w:p>
    <w:p w:rsidR="00454D5E" w:rsidRPr="00477670" w:rsidRDefault="0044592F" w:rsidP="00CF133F">
      <w:pPr>
        <w:kinsoku w:val="0"/>
        <w:overflowPunct w:val="0"/>
        <w:autoSpaceDE/>
        <w:autoSpaceDN/>
        <w:adjustRightInd/>
        <w:spacing w:before="9" w:line="276" w:lineRule="exact"/>
        <w:ind w:firstLine="720"/>
        <w:jc w:val="both"/>
        <w:textAlignment w:val="baseline"/>
        <w:rPr>
          <w:sz w:val="24"/>
          <w:szCs w:val="24"/>
        </w:rPr>
      </w:pPr>
      <w:r w:rsidRPr="00477670">
        <w:rPr>
          <w:sz w:val="24"/>
          <w:szCs w:val="24"/>
        </w:rPr>
        <w:t xml:space="preserve">AGL </w:t>
      </w:r>
      <w:r w:rsidR="00293EE5">
        <w:rPr>
          <w:sz w:val="24"/>
          <w:szCs w:val="24"/>
        </w:rPr>
        <w:t>wi</w:t>
      </w:r>
      <w:r w:rsidR="00293EE5" w:rsidRPr="00477670">
        <w:rPr>
          <w:sz w:val="24"/>
          <w:szCs w:val="24"/>
        </w:rPr>
        <w:t xml:space="preserve">ll </w:t>
      </w:r>
      <w:r w:rsidR="002366E3" w:rsidRPr="00477670">
        <w:rPr>
          <w:sz w:val="24"/>
          <w:szCs w:val="24"/>
        </w:rPr>
        <w:t xml:space="preserve">spend </w:t>
      </w:r>
      <w:r w:rsidR="007213E5" w:rsidRPr="007213E5">
        <w:rPr>
          <w:sz w:val="24"/>
          <w:szCs w:val="24"/>
        </w:rPr>
        <w:t>$110,000</w:t>
      </w:r>
      <w:r w:rsidR="002366E3" w:rsidRPr="00477670">
        <w:rPr>
          <w:b/>
          <w:sz w:val="24"/>
          <w:szCs w:val="24"/>
        </w:rPr>
        <w:t xml:space="preserve"> </w:t>
      </w:r>
      <w:r w:rsidR="00477670" w:rsidRPr="00477670">
        <w:rPr>
          <w:sz w:val="24"/>
          <w:szCs w:val="24"/>
        </w:rPr>
        <w:t xml:space="preserve">on </w:t>
      </w:r>
      <w:r w:rsidR="002366E3" w:rsidRPr="00477670">
        <w:rPr>
          <w:sz w:val="24"/>
          <w:szCs w:val="24"/>
        </w:rPr>
        <w:t>gas detector</w:t>
      </w:r>
      <w:r w:rsidR="007213E5">
        <w:rPr>
          <w:sz w:val="24"/>
          <w:szCs w:val="24"/>
        </w:rPr>
        <w:t xml:space="preserve"> equipment</w:t>
      </w:r>
      <w:r w:rsidR="002366E3" w:rsidRPr="00477670">
        <w:rPr>
          <w:sz w:val="24"/>
          <w:szCs w:val="24"/>
        </w:rPr>
        <w:t xml:space="preserve"> to </w:t>
      </w:r>
      <w:r w:rsidR="00477670" w:rsidRPr="00477670">
        <w:rPr>
          <w:sz w:val="24"/>
          <w:szCs w:val="24"/>
        </w:rPr>
        <w:t xml:space="preserve">be provided to </w:t>
      </w:r>
      <w:r w:rsidR="002366E3" w:rsidRPr="00477670">
        <w:rPr>
          <w:sz w:val="24"/>
          <w:szCs w:val="24"/>
        </w:rPr>
        <w:t>small</w:t>
      </w:r>
      <w:r w:rsidR="0015655D">
        <w:rPr>
          <w:sz w:val="24"/>
          <w:szCs w:val="24"/>
        </w:rPr>
        <w:t>er</w:t>
      </w:r>
      <w:r w:rsidR="002366E3" w:rsidRPr="00477670">
        <w:rPr>
          <w:sz w:val="24"/>
          <w:szCs w:val="24"/>
        </w:rPr>
        <w:t xml:space="preserve"> fire departments in the state of Georgia within the AGL service territory within </w:t>
      </w:r>
      <w:r w:rsidR="0015655D">
        <w:rPr>
          <w:sz w:val="24"/>
          <w:szCs w:val="24"/>
        </w:rPr>
        <w:t>one</w:t>
      </w:r>
      <w:r w:rsidR="002366E3" w:rsidRPr="00477670">
        <w:rPr>
          <w:sz w:val="24"/>
          <w:szCs w:val="24"/>
        </w:rPr>
        <w:t xml:space="preserve"> year of </w:t>
      </w:r>
      <w:r w:rsidR="00085EB0">
        <w:rPr>
          <w:sz w:val="24"/>
          <w:szCs w:val="24"/>
        </w:rPr>
        <w:t>a</w:t>
      </w:r>
      <w:r w:rsidR="002366E3" w:rsidRPr="00477670">
        <w:rPr>
          <w:sz w:val="24"/>
          <w:szCs w:val="24"/>
        </w:rPr>
        <w:t xml:space="preserve"> Commission </w:t>
      </w:r>
      <w:r w:rsidR="00085EB0">
        <w:rPr>
          <w:sz w:val="24"/>
          <w:szCs w:val="24"/>
        </w:rPr>
        <w:t>order adopting</w:t>
      </w:r>
      <w:r w:rsidR="00085EB0" w:rsidRPr="00477670">
        <w:rPr>
          <w:sz w:val="24"/>
          <w:szCs w:val="24"/>
        </w:rPr>
        <w:t xml:space="preserve"> </w:t>
      </w:r>
      <w:r w:rsidR="002366E3" w:rsidRPr="00477670">
        <w:rPr>
          <w:sz w:val="24"/>
          <w:szCs w:val="24"/>
        </w:rPr>
        <w:t>this Settlement Agreement.</w:t>
      </w:r>
      <w:r w:rsidRPr="00477670">
        <w:rPr>
          <w:sz w:val="24"/>
          <w:szCs w:val="24"/>
        </w:rPr>
        <w:t xml:space="preserve"> </w:t>
      </w:r>
    </w:p>
    <w:p w:rsidR="00CF133F" w:rsidRPr="00477670" w:rsidRDefault="00CF133F" w:rsidP="00CF133F">
      <w:pPr>
        <w:kinsoku w:val="0"/>
        <w:overflowPunct w:val="0"/>
        <w:autoSpaceDE/>
        <w:autoSpaceDN/>
        <w:adjustRightInd/>
        <w:spacing w:before="9" w:line="276" w:lineRule="exact"/>
        <w:jc w:val="both"/>
        <w:textAlignment w:val="baseline"/>
        <w:rPr>
          <w:sz w:val="24"/>
          <w:szCs w:val="24"/>
        </w:rPr>
      </w:pPr>
    </w:p>
    <w:p w:rsidR="00CF133F" w:rsidRPr="00477670" w:rsidRDefault="0044592F" w:rsidP="00CF133F">
      <w:pPr>
        <w:kinsoku w:val="0"/>
        <w:overflowPunct w:val="0"/>
        <w:autoSpaceDE/>
        <w:autoSpaceDN/>
        <w:adjustRightInd/>
        <w:spacing w:before="9" w:line="276" w:lineRule="exact"/>
        <w:jc w:val="center"/>
        <w:textAlignment w:val="baseline"/>
        <w:rPr>
          <w:b/>
          <w:sz w:val="24"/>
          <w:szCs w:val="24"/>
        </w:rPr>
      </w:pPr>
      <w:r w:rsidRPr="00477670">
        <w:rPr>
          <w:b/>
          <w:sz w:val="24"/>
          <w:szCs w:val="24"/>
        </w:rPr>
        <w:t>3.</w:t>
      </w:r>
    </w:p>
    <w:p w:rsidR="00CF133F" w:rsidRPr="00477670" w:rsidRDefault="0044592F" w:rsidP="005B6D55">
      <w:pPr>
        <w:pStyle w:val="BlockText"/>
        <w:ind w:firstLine="720"/>
        <w:jc w:val="both"/>
        <w:rPr>
          <w:rFonts w:cs="Times New Roman"/>
        </w:rPr>
      </w:pPr>
      <w:r w:rsidRPr="00477670">
        <w:rPr>
          <w:rFonts w:cs="Times New Roman"/>
          <w:spacing w:val="2"/>
        </w:rPr>
        <w:t xml:space="preserve">AGL </w:t>
      </w:r>
      <w:r w:rsidR="00293EE5">
        <w:rPr>
          <w:rFonts w:cs="Times New Roman"/>
          <w:spacing w:val="2"/>
        </w:rPr>
        <w:t>wi</w:t>
      </w:r>
      <w:r w:rsidR="00293EE5" w:rsidRPr="00477670">
        <w:rPr>
          <w:rFonts w:cs="Times New Roman"/>
          <w:spacing w:val="2"/>
        </w:rPr>
        <w:t xml:space="preserve">ll </w:t>
      </w:r>
      <w:r w:rsidR="002366E3" w:rsidRPr="00477670">
        <w:rPr>
          <w:rFonts w:cs="Times New Roman"/>
          <w:spacing w:val="2"/>
        </w:rPr>
        <w:t>spend</w:t>
      </w:r>
      <w:r w:rsidR="00477670" w:rsidRPr="00477670">
        <w:rPr>
          <w:rFonts w:cs="Times New Roman"/>
          <w:spacing w:val="2"/>
        </w:rPr>
        <w:t xml:space="preserve"> </w:t>
      </w:r>
      <w:r w:rsidR="007213E5">
        <w:rPr>
          <w:rFonts w:cs="Times New Roman"/>
          <w:spacing w:val="2"/>
        </w:rPr>
        <w:t>$70,000</w:t>
      </w:r>
      <w:r w:rsidR="00477670" w:rsidRPr="00477670">
        <w:rPr>
          <w:rFonts w:cs="Times New Roman"/>
          <w:b/>
          <w:bCs/>
        </w:rPr>
        <w:t xml:space="preserve"> </w:t>
      </w:r>
      <w:r w:rsidR="002366E3" w:rsidRPr="00477670">
        <w:rPr>
          <w:rFonts w:cs="Times New Roman"/>
          <w:spacing w:val="2"/>
        </w:rPr>
        <w:t xml:space="preserve">on educational programs to promote damage prevention </w:t>
      </w:r>
      <w:r w:rsidR="007213E5">
        <w:rPr>
          <w:rFonts w:cs="Times New Roman"/>
          <w:spacing w:val="2"/>
        </w:rPr>
        <w:t xml:space="preserve">with water and sewer organizations in </w:t>
      </w:r>
      <w:r w:rsidR="002366E3" w:rsidRPr="00477670">
        <w:rPr>
          <w:rFonts w:cs="Times New Roman"/>
          <w:spacing w:val="2"/>
        </w:rPr>
        <w:t xml:space="preserve">Georgia </w:t>
      </w:r>
      <w:r w:rsidR="007213E5">
        <w:rPr>
          <w:rFonts w:cs="Times New Roman"/>
          <w:spacing w:val="2"/>
        </w:rPr>
        <w:t>within</w:t>
      </w:r>
      <w:r w:rsidR="007213E5">
        <w:rPr>
          <w:rFonts w:cs="Times New Roman"/>
        </w:rPr>
        <w:t xml:space="preserve"> a </w:t>
      </w:r>
      <w:r w:rsidR="00B225D7">
        <w:rPr>
          <w:rFonts w:cs="Times New Roman"/>
        </w:rPr>
        <w:t>three-year</w:t>
      </w:r>
      <w:r w:rsidR="007213E5">
        <w:rPr>
          <w:rFonts w:cs="Times New Roman"/>
        </w:rPr>
        <w:t xml:space="preserve"> period following</w:t>
      </w:r>
      <w:r w:rsidR="00477670" w:rsidRPr="00477670">
        <w:rPr>
          <w:rFonts w:cs="Times New Roman"/>
        </w:rPr>
        <w:t xml:space="preserve"> </w:t>
      </w:r>
      <w:r w:rsidR="00085EB0">
        <w:rPr>
          <w:rFonts w:cs="Times New Roman"/>
        </w:rPr>
        <w:t>a</w:t>
      </w:r>
      <w:r w:rsidR="00085EB0" w:rsidRPr="00477670">
        <w:rPr>
          <w:rFonts w:cs="Times New Roman"/>
        </w:rPr>
        <w:t xml:space="preserve"> </w:t>
      </w:r>
      <w:r w:rsidR="00477670" w:rsidRPr="00477670">
        <w:rPr>
          <w:rFonts w:cs="Times New Roman"/>
        </w:rPr>
        <w:t xml:space="preserve">Commission </w:t>
      </w:r>
      <w:r w:rsidR="00085EB0">
        <w:rPr>
          <w:rFonts w:cs="Times New Roman"/>
        </w:rPr>
        <w:t>order adopting</w:t>
      </w:r>
      <w:r w:rsidR="00085EB0" w:rsidRPr="00477670">
        <w:rPr>
          <w:rFonts w:cs="Times New Roman"/>
        </w:rPr>
        <w:t xml:space="preserve"> </w:t>
      </w:r>
      <w:r w:rsidR="00477670" w:rsidRPr="00477670">
        <w:rPr>
          <w:rFonts w:cs="Times New Roman"/>
        </w:rPr>
        <w:t xml:space="preserve">this Settlement Agreement. </w:t>
      </w:r>
      <w:r w:rsidR="002366E3" w:rsidRPr="00477670">
        <w:rPr>
          <w:rFonts w:cs="Times New Roman"/>
          <w:spacing w:val="2"/>
        </w:rPr>
        <w:t xml:space="preserve"> </w:t>
      </w:r>
      <w:r w:rsidR="00B225D7">
        <w:rPr>
          <w:rFonts w:cs="Times New Roman"/>
          <w:spacing w:val="2"/>
        </w:rPr>
        <w:t>AGL agrees to work with the Pipeline Safety Staff in this effort.</w:t>
      </w:r>
    </w:p>
    <w:p w:rsidR="00454D5E" w:rsidRPr="00477670" w:rsidRDefault="0044592F" w:rsidP="00CF133F">
      <w:pPr>
        <w:kinsoku w:val="0"/>
        <w:overflowPunct w:val="0"/>
        <w:autoSpaceDE/>
        <w:autoSpaceDN/>
        <w:adjustRightInd/>
        <w:spacing w:before="1" w:line="276" w:lineRule="exact"/>
        <w:jc w:val="center"/>
        <w:textAlignment w:val="baseline"/>
        <w:rPr>
          <w:b/>
          <w:spacing w:val="2"/>
          <w:sz w:val="24"/>
          <w:szCs w:val="24"/>
        </w:rPr>
      </w:pPr>
      <w:r w:rsidRPr="00477670">
        <w:rPr>
          <w:b/>
          <w:spacing w:val="2"/>
          <w:sz w:val="24"/>
          <w:szCs w:val="24"/>
        </w:rPr>
        <w:t>4.</w:t>
      </w:r>
    </w:p>
    <w:p w:rsidR="00477670" w:rsidRPr="00477670" w:rsidRDefault="0044592F" w:rsidP="00477670">
      <w:pPr>
        <w:kinsoku w:val="0"/>
        <w:overflowPunct w:val="0"/>
        <w:autoSpaceDE/>
        <w:autoSpaceDN/>
        <w:adjustRightInd/>
        <w:spacing w:before="7" w:line="276" w:lineRule="exact"/>
        <w:ind w:firstLine="720"/>
        <w:jc w:val="both"/>
        <w:textAlignment w:val="baseline"/>
        <w:rPr>
          <w:sz w:val="24"/>
          <w:szCs w:val="24"/>
        </w:rPr>
      </w:pPr>
      <w:r w:rsidRPr="00477670">
        <w:rPr>
          <w:sz w:val="24"/>
          <w:szCs w:val="24"/>
        </w:rPr>
        <w:t xml:space="preserve">AGL </w:t>
      </w:r>
      <w:r w:rsidR="00293EE5">
        <w:rPr>
          <w:sz w:val="24"/>
          <w:szCs w:val="24"/>
        </w:rPr>
        <w:t>wi</w:t>
      </w:r>
      <w:r w:rsidR="00293EE5" w:rsidRPr="00477670">
        <w:rPr>
          <w:sz w:val="24"/>
          <w:szCs w:val="24"/>
        </w:rPr>
        <w:t xml:space="preserve">ll </w:t>
      </w:r>
      <w:r w:rsidRPr="00477670">
        <w:rPr>
          <w:sz w:val="24"/>
          <w:szCs w:val="24"/>
        </w:rPr>
        <w:t xml:space="preserve">make a voluntary contribution of </w:t>
      </w:r>
      <w:r w:rsidR="007213E5">
        <w:rPr>
          <w:sz w:val="24"/>
          <w:szCs w:val="24"/>
        </w:rPr>
        <w:t>$70,000 to the Georgia Pipeline Emergency Responder Initiative (GPERI)</w:t>
      </w:r>
      <w:r w:rsidR="008D7042">
        <w:rPr>
          <w:b/>
          <w:bCs/>
          <w:sz w:val="24"/>
          <w:szCs w:val="24"/>
        </w:rPr>
        <w:t xml:space="preserve"> </w:t>
      </w:r>
      <w:r w:rsidRPr="00477670">
        <w:rPr>
          <w:sz w:val="24"/>
          <w:szCs w:val="24"/>
        </w:rPr>
        <w:t xml:space="preserve">within forty-five (45) days of a Commission </w:t>
      </w:r>
      <w:r w:rsidR="00FB768D">
        <w:rPr>
          <w:sz w:val="24"/>
          <w:szCs w:val="24"/>
        </w:rPr>
        <w:t>o</w:t>
      </w:r>
      <w:r w:rsidRPr="00477670">
        <w:rPr>
          <w:sz w:val="24"/>
          <w:szCs w:val="24"/>
        </w:rPr>
        <w:t xml:space="preserve">rder </w:t>
      </w:r>
      <w:r w:rsidR="00FB768D">
        <w:rPr>
          <w:sz w:val="24"/>
          <w:szCs w:val="24"/>
        </w:rPr>
        <w:t>a</w:t>
      </w:r>
      <w:r w:rsidRPr="00477670">
        <w:rPr>
          <w:sz w:val="24"/>
          <w:szCs w:val="24"/>
        </w:rPr>
        <w:t xml:space="preserve">dopting this Settlement Agreement that </w:t>
      </w:r>
      <w:r w:rsidR="00BE52ED">
        <w:rPr>
          <w:sz w:val="24"/>
          <w:szCs w:val="24"/>
        </w:rPr>
        <w:t>wi</w:t>
      </w:r>
      <w:r w:rsidRPr="00477670">
        <w:rPr>
          <w:sz w:val="24"/>
          <w:szCs w:val="24"/>
        </w:rPr>
        <w:t>ll be paid in</w:t>
      </w:r>
      <w:r w:rsidRPr="008D7042">
        <w:rPr>
          <w:sz w:val="24"/>
          <w:szCs w:val="24"/>
        </w:rPr>
        <w:t xml:space="preserve"> </w:t>
      </w:r>
      <w:r w:rsidRPr="008D7042">
        <w:rPr>
          <w:bCs/>
          <w:sz w:val="24"/>
          <w:szCs w:val="24"/>
        </w:rPr>
        <w:t xml:space="preserve">certified funds and </w:t>
      </w:r>
      <w:r w:rsidR="00BE52ED" w:rsidRPr="008D7042">
        <w:rPr>
          <w:bCs/>
          <w:sz w:val="24"/>
          <w:szCs w:val="24"/>
        </w:rPr>
        <w:t>wi</w:t>
      </w:r>
      <w:r w:rsidRPr="008D7042">
        <w:rPr>
          <w:bCs/>
          <w:sz w:val="24"/>
          <w:szCs w:val="24"/>
        </w:rPr>
        <w:t>ll be made payable as determined by the Commission</w:t>
      </w:r>
      <w:r w:rsidRPr="008D7042">
        <w:rPr>
          <w:sz w:val="24"/>
          <w:szCs w:val="24"/>
        </w:rPr>
        <w:t>.</w:t>
      </w:r>
    </w:p>
    <w:p w:rsidR="00CF133F" w:rsidRPr="00477670" w:rsidRDefault="00CF133F" w:rsidP="00CF133F">
      <w:pPr>
        <w:kinsoku w:val="0"/>
        <w:overflowPunct w:val="0"/>
        <w:autoSpaceDE/>
        <w:autoSpaceDN/>
        <w:adjustRightInd/>
        <w:spacing w:before="11" w:line="276" w:lineRule="exact"/>
        <w:jc w:val="both"/>
        <w:textAlignment w:val="baseline"/>
        <w:rPr>
          <w:sz w:val="24"/>
          <w:szCs w:val="24"/>
        </w:rPr>
      </w:pPr>
    </w:p>
    <w:p w:rsidR="00546971" w:rsidRPr="00477670" w:rsidRDefault="0044592F" w:rsidP="00253ABC">
      <w:pPr>
        <w:widowControl/>
        <w:autoSpaceDE/>
        <w:autoSpaceDN/>
        <w:adjustRightInd/>
        <w:jc w:val="center"/>
        <w:rPr>
          <w:b/>
          <w:sz w:val="24"/>
          <w:szCs w:val="24"/>
        </w:rPr>
      </w:pPr>
      <w:r w:rsidRPr="00477670">
        <w:rPr>
          <w:b/>
          <w:sz w:val="24"/>
          <w:szCs w:val="24"/>
        </w:rPr>
        <w:t>5.</w:t>
      </w:r>
    </w:p>
    <w:p w:rsidR="00546971" w:rsidRPr="00477670" w:rsidRDefault="0044592F" w:rsidP="00546971">
      <w:pPr>
        <w:kinsoku w:val="0"/>
        <w:overflowPunct w:val="0"/>
        <w:autoSpaceDE/>
        <w:autoSpaceDN/>
        <w:adjustRightInd/>
        <w:spacing w:line="274" w:lineRule="exact"/>
        <w:ind w:firstLine="720"/>
        <w:jc w:val="both"/>
        <w:textAlignment w:val="baseline"/>
        <w:rPr>
          <w:sz w:val="24"/>
          <w:szCs w:val="24"/>
        </w:rPr>
      </w:pPr>
      <w:r w:rsidRPr="00477670">
        <w:rPr>
          <w:sz w:val="24"/>
          <w:szCs w:val="24"/>
        </w:rPr>
        <w:t xml:space="preserve">All costs incurred related to compliance with this Settlement Agreement </w:t>
      </w:r>
      <w:r w:rsidR="00BE52ED">
        <w:rPr>
          <w:sz w:val="24"/>
          <w:szCs w:val="24"/>
        </w:rPr>
        <w:t>wi</w:t>
      </w:r>
      <w:r w:rsidRPr="00477670">
        <w:rPr>
          <w:sz w:val="24"/>
          <w:szCs w:val="24"/>
        </w:rPr>
        <w:t>ll be timely booked in accordance with the Uniform System of Accounts prescribed for Natural Gas Companies subject to the Provisions of the Natural Gas Act.</w:t>
      </w:r>
      <w:r w:rsidR="00762CBD" w:rsidRPr="00B225D7">
        <w:rPr>
          <w:sz w:val="24"/>
        </w:rPr>
        <w:t xml:space="preserve"> </w:t>
      </w:r>
      <w:r w:rsidR="006C5DA9">
        <w:rPr>
          <w:sz w:val="24"/>
        </w:rPr>
        <w:t xml:space="preserve">AGL acknowledges that </w:t>
      </w:r>
      <w:r w:rsidR="00D8026D">
        <w:rPr>
          <w:sz w:val="24"/>
        </w:rPr>
        <w:t xml:space="preserve">the </w:t>
      </w:r>
      <w:r w:rsidR="006C633A">
        <w:rPr>
          <w:sz w:val="24"/>
        </w:rPr>
        <w:t>expenditures</w:t>
      </w:r>
      <w:r w:rsidR="00D8026D">
        <w:rPr>
          <w:sz w:val="24"/>
        </w:rPr>
        <w:t xml:space="preserve"> set forth in ¶¶ 2, 3, and 4 herein are not recoverable through regulated rates.  </w:t>
      </w:r>
    </w:p>
    <w:p w:rsidR="00940341" w:rsidRPr="00477670" w:rsidRDefault="0044592F" w:rsidP="00477670">
      <w:pPr>
        <w:kinsoku w:val="0"/>
        <w:overflowPunct w:val="0"/>
        <w:autoSpaceDE/>
        <w:autoSpaceDN/>
        <w:adjustRightInd/>
        <w:spacing w:line="274" w:lineRule="exact"/>
        <w:jc w:val="both"/>
        <w:textAlignment w:val="baseline"/>
        <w:rPr>
          <w:b/>
          <w:sz w:val="24"/>
          <w:szCs w:val="24"/>
        </w:rPr>
      </w:pPr>
      <w:r w:rsidRPr="00477670">
        <w:rPr>
          <w:b/>
          <w:bCs/>
          <w:spacing w:val="-43"/>
          <w:sz w:val="24"/>
          <w:szCs w:val="24"/>
        </w:rPr>
        <w:t xml:space="preserve"> </w:t>
      </w:r>
    </w:p>
    <w:p w:rsidR="00546971" w:rsidRPr="00477670" w:rsidRDefault="0044592F" w:rsidP="00546971">
      <w:pPr>
        <w:kinsoku w:val="0"/>
        <w:overflowPunct w:val="0"/>
        <w:autoSpaceDE/>
        <w:autoSpaceDN/>
        <w:adjustRightInd/>
        <w:spacing w:line="274" w:lineRule="exact"/>
        <w:jc w:val="center"/>
        <w:textAlignment w:val="baseline"/>
        <w:rPr>
          <w:b/>
          <w:sz w:val="24"/>
          <w:szCs w:val="24"/>
        </w:rPr>
      </w:pPr>
      <w:r w:rsidRPr="00477670">
        <w:rPr>
          <w:b/>
          <w:sz w:val="24"/>
          <w:szCs w:val="24"/>
        </w:rPr>
        <w:t>6.</w:t>
      </w:r>
    </w:p>
    <w:p w:rsidR="00454D5E" w:rsidRPr="00477670" w:rsidRDefault="0044592F" w:rsidP="00546971">
      <w:pPr>
        <w:kinsoku w:val="0"/>
        <w:overflowPunct w:val="0"/>
        <w:autoSpaceDE/>
        <w:autoSpaceDN/>
        <w:adjustRightInd/>
        <w:spacing w:line="274" w:lineRule="exact"/>
        <w:ind w:firstLine="720"/>
        <w:jc w:val="both"/>
        <w:textAlignment w:val="baseline"/>
        <w:rPr>
          <w:sz w:val="24"/>
          <w:szCs w:val="24"/>
        </w:rPr>
      </w:pPr>
      <w:r>
        <w:rPr>
          <w:sz w:val="24"/>
          <w:szCs w:val="24"/>
        </w:rPr>
        <w:t>If</w:t>
      </w:r>
      <w:r w:rsidRPr="00477670">
        <w:rPr>
          <w:sz w:val="24"/>
          <w:szCs w:val="24"/>
        </w:rPr>
        <w:t xml:space="preserve"> complications arise as to compliance with and/or implementation of this Settlement Agreement, AGL and Commission Staff agree to work in good faith to </w:t>
      </w:r>
      <w:r w:rsidR="00546971" w:rsidRPr="00477670">
        <w:rPr>
          <w:sz w:val="24"/>
          <w:szCs w:val="24"/>
        </w:rPr>
        <w:t>resolve any such complications.</w:t>
      </w:r>
    </w:p>
    <w:p w:rsidR="00546971" w:rsidRPr="00477670" w:rsidRDefault="00546971" w:rsidP="00546971">
      <w:pPr>
        <w:kinsoku w:val="0"/>
        <w:overflowPunct w:val="0"/>
        <w:autoSpaceDE/>
        <w:autoSpaceDN/>
        <w:adjustRightInd/>
        <w:spacing w:line="274" w:lineRule="exact"/>
        <w:jc w:val="both"/>
        <w:textAlignment w:val="baseline"/>
        <w:rPr>
          <w:sz w:val="24"/>
          <w:szCs w:val="24"/>
        </w:rPr>
      </w:pPr>
    </w:p>
    <w:p w:rsidR="00546971" w:rsidRPr="008D7042" w:rsidRDefault="0044592F" w:rsidP="00546971">
      <w:pPr>
        <w:kinsoku w:val="0"/>
        <w:overflowPunct w:val="0"/>
        <w:autoSpaceDE/>
        <w:autoSpaceDN/>
        <w:adjustRightInd/>
        <w:spacing w:line="274" w:lineRule="exact"/>
        <w:jc w:val="center"/>
        <w:textAlignment w:val="baseline"/>
        <w:rPr>
          <w:b/>
          <w:sz w:val="24"/>
          <w:szCs w:val="24"/>
        </w:rPr>
      </w:pPr>
      <w:r w:rsidRPr="008D7042">
        <w:rPr>
          <w:b/>
          <w:sz w:val="24"/>
          <w:szCs w:val="24"/>
        </w:rPr>
        <w:t>7.</w:t>
      </w:r>
    </w:p>
    <w:p w:rsidR="00546971" w:rsidRPr="00477670" w:rsidRDefault="0044592F" w:rsidP="00546971">
      <w:pPr>
        <w:kinsoku w:val="0"/>
        <w:overflowPunct w:val="0"/>
        <w:autoSpaceDE/>
        <w:autoSpaceDN/>
        <w:adjustRightInd/>
        <w:spacing w:before="3" w:line="276" w:lineRule="exact"/>
        <w:ind w:firstLine="720"/>
        <w:jc w:val="both"/>
        <w:textAlignment w:val="baseline"/>
        <w:rPr>
          <w:sz w:val="24"/>
          <w:szCs w:val="24"/>
        </w:rPr>
      </w:pPr>
      <w:r w:rsidRPr="00477670">
        <w:rPr>
          <w:sz w:val="24"/>
          <w:szCs w:val="24"/>
        </w:rPr>
        <w:t xml:space="preserve">The Parties agree that this Settlement Agreement is a just and reasonable disposition of </w:t>
      </w:r>
      <w:r w:rsidR="00906911">
        <w:rPr>
          <w:sz w:val="24"/>
          <w:szCs w:val="24"/>
        </w:rPr>
        <w:t>any fine or penalty that the Commission could have assessed against AGL in connection with</w:t>
      </w:r>
      <w:r w:rsidR="008D7042">
        <w:rPr>
          <w:sz w:val="24"/>
          <w:szCs w:val="24"/>
        </w:rPr>
        <w:t xml:space="preserve"> the incident on August 17, 2018 in Homerville, Georgia</w:t>
      </w:r>
      <w:r w:rsidR="00906911">
        <w:rPr>
          <w:sz w:val="24"/>
          <w:szCs w:val="24"/>
        </w:rPr>
        <w:t>, including without limitation the NOPVs</w:t>
      </w:r>
      <w:r w:rsidR="008D7042">
        <w:rPr>
          <w:sz w:val="24"/>
          <w:szCs w:val="24"/>
        </w:rPr>
        <w:t>.</w:t>
      </w:r>
    </w:p>
    <w:p w:rsidR="00546971" w:rsidRPr="00477670" w:rsidRDefault="00546971" w:rsidP="00546971">
      <w:pPr>
        <w:kinsoku w:val="0"/>
        <w:overflowPunct w:val="0"/>
        <w:autoSpaceDE/>
        <w:autoSpaceDN/>
        <w:adjustRightInd/>
        <w:spacing w:before="3" w:line="276" w:lineRule="exact"/>
        <w:jc w:val="both"/>
        <w:textAlignment w:val="baseline"/>
        <w:rPr>
          <w:sz w:val="24"/>
          <w:szCs w:val="24"/>
        </w:rPr>
      </w:pPr>
    </w:p>
    <w:p w:rsidR="00546971" w:rsidRPr="00477670" w:rsidRDefault="0044592F" w:rsidP="00546971">
      <w:pPr>
        <w:kinsoku w:val="0"/>
        <w:overflowPunct w:val="0"/>
        <w:autoSpaceDE/>
        <w:autoSpaceDN/>
        <w:adjustRightInd/>
        <w:spacing w:before="3" w:line="276" w:lineRule="exact"/>
        <w:jc w:val="center"/>
        <w:textAlignment w:val="baseline"/>
        <w:rPr>
          <w:b/>
          <w:sz w:val="24"/>
          <w:szCs w:val="24"/>
        </w:rPr>
      </w:pPr>
      <w:r w:rsidRPr="00477670">
        <w:rPr>
          <w:b/>
          <w:sz w:val="24"/>
          <w:szCs w:val="24"/>
        </w:rPr>
        <w:t>8.</w:t>
      </w:r>
    </w:p>
    <w:p w:rsidR="00546971" w:rsidRPr="00477670" w:rsidRDefault="0044592F" w:rsidP="00546971">
      <w:pPr>
        <w:kinsoku w:val="0"/>
        <w:overflowPunct w:val="0"/>
        <w:autoSpaceDE/>
        <w:autoSpaceDN/>
        <w:adjustRightInd/>
        <w:spacing w:before="3" w:line="276" w:lineRule="exact"/>
        <w:ind w:firstLine="720"/>
        <w:jc w:val="both"/>
        <w:textAlignment w:val="baseline"/>
        <w:rPr>
          <w:sz w:val="24"/>
          <w:szCs w:val="24"/>
        </w:rPr>
      </w:pPr>
      <w:r w:rsidRPr="00477670">
        <w:rPr>
          <w:sz w:val="24"/>
          <w:szCs w:val="24"/>
        </w:rPr>
        <w:t xml:space="preserve">This </w:t>
      </w:r>
      <w:r w:rsidR="00454D5E" w:rsidRPr="00477670">
        <w:rPr>
          <w:sz w:val="24"/>
          <w:szCs w:val="24"/>
        </w:rPr>
        <w:t>Settlement Agreement shall not become effective until and unless it is approved by the Commission</w:t>
      </w:r>
      <w:r w:rsidR="00AB6046">
        <w:rPr>
          <w:sz w:val="24"/>
          <w:szCs w:val="24"/>
        </w:rPr>
        <w:t>, at which time</w:t>
      </w:r>
      <w:r w:rsidR="00454D5E" w:rsidRPr="00477670">
        <w:rPr>
          <w:sz w:val="24"/>
          <w:szCs w:val="24"/>
        </w:rPr>
        <w:t xml:space="preserve"> the Parties anticipate that </w:t>
      </w:r>
      <w:r w:rsidR="00A51C7C">
        <w:rPr>
          <w:sz w:val="24"/>
          <w:szCs w:val="24"/>
        </w:rPr>
        <w:t xml:space="preserve">the Commission will enter </w:t>
      </w:r>
      <w:r w:rsidR="00454D5E" w:rsidRPr="00477670">
        <w:rPr>
          <w:sz w:val="24"/>
          <w:szCs w:val="24"/>
        </w:rPr>
        <w:t>an Order adopting and incorporating the terms and conditions of t</w:t>
      </w:r>
      <w:r w:rsidRPr="00477670">
        <w:rPr>
          <w:sz w:val="24"/>
          <w:szCs w:val="24"/>
        </w:rPr>
        <w:t>his Settlement Agreement.</w:t>
      </w:r>
    </w:p>
    <w:p w:rsidR="00546971" w:rsidRPr="00477670" w:rsidRDefault="00546971" w:rsidP="00546971">
      <w:pPr>
        <w:kinsoku w:val="0"/>
        <w:overflowPunct w:val="0"/>
        <w:autoSpaceDE/>
        <w:autoSpaceDN/>
        <w:adjustRightInd/>
        <w:spacing w:before="3" w:line="276" w:lineRule="exact"/>
        <w:jc w:val="both"/>
        <w:textAlignment w:val="baseline"/>
        <w:rPr>
          <w:sz w:val="24"/>
          <w:szCs w:val="24"/>
        </w:rPr>
      </w:pPr>
    </w:p>
    <w:p w:rsidR="00546971" w:rsidRPr="00477670" w:rsidRDefault="0044592F" w:rsidP="00546971">
      <w:pPr>
        <w:kinsoku w:val="0"/>
        <w:overflowPunct w:val="0"/>
        <w:autoSpaceDE/>
        <w:autoSpaceDN/>
        <w:adjustRightInd/>
        <w:spacing w:before="3" w:line="276" w:lineRule="exact"/>
        <w:jc w:val="center"/>
        <w:textAlignment w:val="baseline"/>
        <w:rPr>
          <w:b/>
          <w:sz w:val="24"/>
          <w:szCs w:val="24"/>
        </w:rPr>
      </w:pPr>
      <w:r w:rsidRPr="00477670">
        <w:rPr>
          <w:b/>
          <w:sz w:val="24"/>
          <w:szCs w:val="24"/>
        </w:rPr>
        <w:t>9.</w:t>
      </w:r>
    </w:p>
    <w:p w:rsidR="00253ABC" w:rsidRPr="00477670" w:rsidRDefault="0044592F" w:rsidP="00253ABC">
      <w:pPr>
        <w:kinsoku w:val="0"/>
        <w:overflowPunct w:val="0"/>
        <w:autoSpaceDE/>
        <w:autoSpaceDN/>
        <w:adjustRightInd/>
        <w:spacing w:before="3" w:line="276" w:lineRule="exact"/>
        <w:ind w:firstLine="720"/>
        <w:jc w:val="both"/>
        <w:textAlignment w:val="baseline"/>
        <w:rPr>
          <w:spacing w:val="3"/>
          <w:sz w:val="24"/>
          <w:szCs w:val="24"/>
        </w:rPr>
      </w:pPr>
      <w:r w:rsidRPr="00477670">
        <w:rPr>
          <w:spacing w:val="3"/>
          <w:sz w:val="24"/>
          <w:szCs w:val="24"/>
        </w:rPr>
        <w:t>The undersigned authorized representat</w:t>
      </w:r>
      <w:r w:rsidR="00056BC3" w:rsidRPr="00477670">
        <w:rPr>
          <w:spacing w:val="3"/>
          <w:sz w:val="24"/>
          <w:szCs w:val="24"/>
        </w:rPr>
        <w:t>ive</w:t>
      </w:r>
      <w:r w:rsidRPr="00477670">
        <w:rPr>
          <w:spacing w:val="3"/>
          <w:sz w:val="24"/>
          <w:szCs w:val="24"/>
        </w:rPr>
        <w:t xml:space="preserve"> of AGL acknowledge</w:t>
      </w:r>
      <w:r w:rsidR="00056BC3" w:rsidRPr="00477670">
        <w:rPr>
          <w:spacing w:val="3"/>
          <w:sz w:val="24"/>
          <w:szCs w:val="24"/>
        </w:rPr>
        <w:t>s</w:t>
      </w:r>
      <w:r w:rsidR="00477670" w:rsidRPr="00477670">
        <w:rPr>
          <w:spacing w:val="3"/>
          <w:sz w:val="24"/>
          <w:szCs w:val="24"/>
        </w:rPr>
        <w:t xml:space="preserve"> by his</w:t>
      </w:r>
      <w:r w:rsidRPr="00477670">
        <w:rPr>
          <w:spacing w:val="3"/>
          <w:sz w:val="24"/>
          <w:szCs w:val="24"/>
        </w:rPr>
        <w:t xml:space="preserve"> signature bel</w:t>
      </w:r>
      <w:r w:rsidR="00477670" w:rsidRPr="00477670">
        <w:rPr>
          <w:spacing w:val="3"/>
          <w:sz w:val="24"/>
          <w:szCs w:val="24"/>
        </w:rPr>
        <w:t>ow that h</w:t>
      </w:r>
      <w:r w:rsidRPr="00477670">
        <w:rPr>
          <w:spacing w:val="3"/>
          <w:sz w:val="24"/>
          <w:szCs w:val="24"/>
        </w:rPr>
        <w:t>e has read this Settlement Agreement and understands its contents. The undersigned further acknowledge</w:t>
      </w:r>
      <w:r w:rsidR="00A51C7C">
        <w:rPr>
          <w:spacing w:val="3"/>
          <w:sz w:val="24"/>
          <w:szCs w:val="24"/>
        </w:rPr>
        <w:t>s</w:t>
      </w:r>
      <w:r w:rsidRPr="00477670">
        <w:rPr>
          <w:spacing w:val="3"/>
          <w:sz w:val="24"/>
          <w:szCs w:val="24"/>
        </w:rPr>
        <w:t xml:space="preserve"> </w:t>
      </w:r>
      <w:r w:rsidR="00BB0C0C" w:rsidRPr="00477670">
        <w:rPr>
          <w:spacing w:val="3"/>
          <w:sz w:val="24"/>
          <w:szCs w:val="24"/>
        </w:rPr>
        <w:t>his</w:t>
      </w:r>
      <w:r w:rsidRPr="00477670">
        <w:rPr>
          <w:spacing w:val="3"/>
          <w:sz w:val="24"/>
          <w:szCs w:val="24"/>
        </w:rPr>
        <w:t xml:space="preserve"> Settlement Authorit</w:t>
      </w:r>
      <w:r w:rsidR="00BB0C0C" w:rsidRPr="00477670">
        <w:rPr>
          <w:spacing w:val="3"/>
          <w:sz w:val="24"/>
          <w:szCs w:val="24"/>
        </w:rPr>
        <w:t>y</w:t>
      </w:r>
      <w:r w:rsidRPr="00477670">
        <w:rPr>
          <w:spacing w:val="3"/>
          <w:sz w:val="24"/>
          <w:szCs w:val="24"/>
        </w:rPr>
        <w:t xml:space="preserve"> on behalf of AGL</w:t>
      </w:r>
      <w:r w:rsidR="00A51C7C">
        <w:rPr>
          <w:spacing w:val="3"/>
          <w:sz w:val="24"/>
          <w:szCs w:val="24"/>
        </w:rPr>
        <w:t xml:space="preserve"> and</w:t>
      </w:r>
      <w:r w:rsidRPr="00477670">
        <w:rPr>
          <w:spacing w:val="3"/>
          <w:sz w:val="24"/>
          <w:szCs w:val="24"/>
        </w:rPr>
        <w:t xml:space="preserve"> agree</w:t>
      </w:r>
      <w:r w:rsidR="00BB0C0C" w:rsidRPr="00477670">
        <w:rPr>
          <w:spacing w:val="3"/>
          <w:sz w:val="24"/>
          <w:szCs w:val="24"/>
        </w:rPr>
        <w:t>s</w:t>
      </w:r>
      <w:r w:rsidRPr="00477670">
        <w:rPr>
          <w:spacing w:val="3"/>
          <w:sz w:val="24"/>
          <w:szCs w:val="24"/>
        </w:rPr>
        <w:t xml:space="preserve"> on behalf of AGL to the resolution of this proceeding as provided for herein.</w:t>
      </w:r>
    </w:p>
    <w:p w:rsidR="00253ABC" w:rsidRPr="00477670" w:rsidRDefault="00253ABC" w:rsidP="00253ABC">
      <w:pPr>
        <w:kinsoku w:val="0"/>
        <w:overflowPunct w:val="0"/>
        <w:autoSpaceDE/>
        <w:autoSpaceDN/>
        <w:adjustRightInd/>
        <w:spacing w:before="3" w:line="276" w:lineRule="exact"/>
        <w:ind w:firstLine="720"/>
        <w:jc w:val="both"/>
        <w:textAlignment w:val="baseline"/>
        <w:rPr>
          <w:spacing w:val="3"/>
          <w:sz w:val="24"/>
          <w:szCs w:val="24"/>
        </w:rPr>
      </w:pPr>
    </w:p>
    <w:p w:rsidR="00253ABC" w:rsidRPr="00477670" w:rsidRDefault="0044592F" w:rsidP="00253ABC">
      <w:pPr>
        <w:kinsoku w:val="0"/>
        <w:overflowPunct w:val="0"/>
        <w:autoSpaceDE/>
        <w:autoSpaceDN/>
        <w:adjustRightInd/>
        <w:spacing w:before="3" w:line="276" w:lineRule="exact"/>
        <w:ind w:firstLine="720"/>
        <w:jc w:val="both"/>
        <w:textAlignment w:val="baseline"/>
        <w:rPr>
          <w:spacing w:val="-1"/>
          <w:sz w:val="24"/>
          <w:szCs w:val="24"/>
        </w:rPr>
      </w:pPr>
      <w:r w:rsidRPr="00477670">
        <w:rPr>
          <w:spacing w:val="-1"/>
          <w:sz w:val="24"/>
          <w:szCs w:val="24"/>
        </w:rPr>
        <w:t>This</w:t>
      </w:r>
      <w:r w:rsidR="00546971" w:rsidRPr="00477670">
        <w:rPr>
          <w:spacing w:val="-1"/>
          <w:sz w:val="24"/>
          <w:szCs w:val="24"/>
        </w:rPr>
        <w:t xml:space="preserve"> </w:t>
      </w:r>
      <w:r w:rsidR="00477670" w:rsidRPr="00477670">
        <w:rPr>
          <w:spacing w:val="-1"/>
          <w:sz w:val="24"/>
          <w:szCs w:val="24"/>
        </w:rPr>
        <w:t>__</w:t>
      </w:r>
      <w:r w:rsidR="00820E13" w:rsidRPr="00477670">
        <w:rPr>
          <w:spacing w:val="-1"/>
          <w:sz w:val="24"/>
          <w:szCs w:val="24"/>
        </w:rPr>
        <w:t xml:space="preserve"> </w:t>
      </w:r>
      <w:r w:rsidRPr="00477670">
        <w:rPr>
          <w:spacing w:val="-1"/>
          <w:sz w:val="24"/>
          <w:szCs w:val="24"/>
        </w:rPr>
        <w:t>day of</w:t>
      </w:r>
      <w:r w:rsidR="00477670" w:rsidRPr="00477670">
        <w:rPr>
          <w:spacing w:val="-1"/>
          <w:sz w:val="24"/>
          <w:szCs w:val="24"/>
        </w:rPr>
        <w:t xml:space="preserve"> </w:t>
      </w:r>
      <w:r w:rsidR="00B85B5E">
        <w:rPr>
          <w:spacing w:val="-1"/>
          <w:sz w:val="24"/>
          <w:szCs w:val="24"/>
        </w:rPr>
        <w:t>September</w:t>
      </w:r>
      <w:r w:rsidR="00B85B5E" w:rsidRPr="00477670">
        <w:rPr>
          <w:spacing w:val="-1"/>
          <w:sz w:val="24"/>
          <w:szCs w:val="24"/>
        </w:rPr>
        <w:t xml:space="preserve"> </w:t>
      </w:r>
      <w:r w:rsidRPr="00477670">
        <w:rPr>
          <w:spacing w:val="-1"/>
          <w:sz w:val="24"/>
          <w:szCs w:val="24"/>
        </w:rPr>
        <w:t>201</w:t>
      </w:r>
      <w:r w:rsidR="00477670" w:rsidRPr="00477670">
        <w:rPr>
          <w:spacing w:val="-1"/>
          <w:sz w:val="24"/>
          <w:szCs w:val="24"/>
        </w:rPr>
        <w:t>9</w:t>
      </w:r>
      <w:r w:rsidRPr="00477670">
        <w:rPr>
          <w:spacing w:val="-1"/>
          <w:sz w:val="24"/>
          <w:szCs w:val="24"/>
        </w:rPr>
        <w:t>.</w:t>
      </w:r>
    </w:p>
    <w:p w:rsidR="00253ABC" w:rsidRPr="00477670" w:rsidRDefault="00253ABC" w:rsidP="00253ABC">
      <w:pPr>
        <w:kinsoku w:val="0"/>
        <w:overflowPunct w:val="0"/>
        <w:autoSpaceDE/>
        <w:autoSpaceDN/>
        <w:adjustRightInd/>
        <w:spacing w:before="3" w:line="276" w:lineRule="exact"/>
        <w:ind w:firstLine="720"/>
        <w:jc w:val="both"/>
        <w:textAlignment w:val="baseline"/>
        <w:rPr>
          <w:spacing w:val="-1"/>
          <w:sz w:val="24"/>
          <w:szCs w:val="24"/>
        </w:rPr>
      </w:pPr>
    </w:p>
    <w:p w:rsidR="00454D5E" w:rsidRPr="00477670" w:rsidRDefault="0044592F" w:rsidP="00253ABC">
      <w:pPr>
        <w:kinsoku w:val="0"/>
        <w:overflowPunct w:val="0"/>
        <w:autoSpaceDE/>
        <w:autoSpaceDN/>
        <w:adjustRightInd/>
        <w:spacing w:before="3" w:line="276" w:lineRule="exact"/>
        <w:ind w:firstLine="720"/>
        <w:jc w:val="both"/>
        <w:textAlignment w:val="baseline"/>
        <w:rPr>
          <w:spacing w:val="3"/>
          <w:sz w:val="24"/>
          <w:szCs w:val="24"/>
        </w:rPr>
      </w:pPr>
      <w:r w:rsidRPr="00477670">
        <w:rPr>
          <w:spacing w:val="3"/>
          <w:sz w:val="24"/>
          <w:szCs w:val="24"/>
        </w:rPr>
        <w:t>Agreed to:</w:t>
      </w:r>
    </w:p>
    <w:p w:rsidR="00253ABC" w:rsidRPr="00477670" w:rsidRDefault="00253ABC" w:rsidP="00253ABC">
      <w:pPr>
        <w:kinsoku w:val="0"/>
        <w:overflowPunct w:val="0"/>
        <w:autoSpaceDE/>
        <w:autoSpaceDN/>
        <w:adjustRightInd/>
        <w:spacing w:before="3" w:line="276" w:lineRule="exact"/>
        <w:ind w:firstLine="720"/>
        <w:jc w:val="both"/>
        <w:textAlignment w:val="baseline"/>
        <w:rPr>
          <w:spacing w:val="3"/>
          <w:sz w:val="24"/>
          <w:szCs w:val="24"/>
        </w:rPr>
      </w:pPr>
    </w:p>
    <w:p w:rsidR="00253ABC" w:rsidRPr="00477670" w:rsidRDefault="0044592F" w:rsidP="00253ABC">
      <w:pPr>
        <w:kinsoku w:val="0"/>
        <w:overflowPunct w:val="0"/>
        <w:autoSpaceDE/>
        <w:autoSpaceDN/>
        <w:adjustRightInd/>
        <w:spacing w:before="3" w:line="276" w:lineRule="exact"/>
        <w:ind w:left="3600"/>
        <w:jc w:val="both"/>
        <w:textAlignment w:val="baseline"/>
        <w:rPr>
          <w:spacing w:val="3"/>
          <w:sz w:val="24"/>
          <w:szCs w:val="24"/>
        </w:rPr>
      </w:pPr>
      <w:r w:rsidRPr="00477670">
        <w:rPr>
          <w:spacing w:val="3"/>
          <w:sz w:val="24"/>
          <w:szCs w:val="24"/>
        </w:rPr>
        <w:lastRenderedPageBreak/>
        <w:t>__________________________________________</w:t>
      </w:r>
    </w:p>
    <w:p w:rsidR="00253ABC" w:rsidRPr="00477670" w:rsidRDefault="0044592F" w:rsidP="00253ABC">
      <w:pPr>
        <w:kinsoku w:val="0"/>
        <w:overflowPunct w:val="0"/>
        <w:autoSpaceDE/>
        <w:autoSpaceDN/>
        <w:adjustRightInd/>
        <w:spacing w:before="3" w:line="276" w:lineRule="exact"/>
        <w:ind w:left="3600"/>
        <w:jc w:val="both"/>
        <w:textAlignment w:val="baseline"/>
        <w:rPr>
          <w:spacing w:val="3"/>
          <w:sz w:val="24"/>
          <w:szCs w:val="24"/>
        </w:rPr>
      </w:pPr>
      <w:r w:rsidRPr="00477670">
        <w:rPr>
          <w:spacing w:val="3"/>
          <w:sz w:val="24"/>
          <w:szCs w:val="24"/>
        </w:rPr>
        <w:t>Bryan Batson, President, Atlanta Gas Light Company</w:t>
      </w:r>
    </w:p>
    <w:p w:rsidR="00A51C7C" w:rsidRDefault="0044592F" w:rsidP="00A51C7C">
      <w:pPr>
        <w:kinsoku w:val="0"/>
        <w:overflowPunct w:val="0"/>
        <w:autoSpaceDE/>
        <w:autoSpaceDN/>
        <w:adjustRightInd/>
        <w:spacing w:before="3" w:line="276" w:lineRule="exact"/>
        <w:ind w:left="3600"/>
        <w:jc w:val="both"/>
        <w:textAlignment w:val="baseline"/>
        <w:rPr>
          <w:spacing w:val="3"/>
          <w:sz w:val="24"/>
          <w:szCs w:val="24"/>
        </w:rPr>
      </w:pPr>
      <w:r w:rsidRPr="00477670">
        <w:rPr>
          <w:spacing w:val="3"/>
          <w:sz w:val="24"/>
          <w:szCs w:val="24"/>
        </w:rPr>
        <w:t>On Behalf of Respondent</w:t>
      </w:r>
    </w:p>
    <w:p w:rsidR="008D7042" w:rsidRDefault="008D7042" w:rsidP="008D7042">
      <w:pPr>
        <w:spacing w:before="4"/>
        <w:rPr>
          <w:rFonts w:ascii="Arial" w:eastAsia="Arial" w:hAnsi="Arial" w:cs="Arial"/>
          <w:sz w:val="15"/>
          <w:szCs w:val="15"/>
        </w:rPr>
      </w:pPr>
    </w:p>
    <w:p w:rsidR="008D7042" w:rsidRPr="008D7042" w:rsidRDefault="008D7042" w:rsidP="008D7042">
      <w:pPr>
        <w:spacing w:before="4"/>
        <w:rPr>
          <w:rFonts w:eastAsia="Arial"/>
          <w:sz w:val="16"/>
          <w:szCs w:val="15"/>
        </w:rPr>
      </w:pPr>
    </w:p>
    <w:p w:rsidR="008D7042" w:rsidRPr="00477670" w:rsidRDefault="0044592F" w:rsidP="008D7042">
      <w:pPr>
        <w:kinsoku w:val="0"/>
        <w:overflowPunct w:val="0"/>
        <w:autoSpaceDE/>
        <w:autoSpaceDN/>
        <w:adjustRightInd/>
        <w:spacing w:before="3" w:line="276" w:lineRule="exact"/>
        <w:ind w:left="3600"/>
        <w:jc w:val="both"/>
        <w:textAlignment w:val="baseline"/>
        <w:rPr>
          <w:spacing w:val="3"/>
          <w:sz w:val="24"/>
          <w:szCs w:val="24"/>
        </w:rPr>
      </w:pPr>
      <w:r w:rsidRPr="00477670">
        <w:rPr>
          <w:spacing w:val="3"/>
          <w:sz w:val="24"/>
          <w:szCs w:val="24"/>
        </w:rPr>
        <w:t>__________________________________________</w:t>
      </w:r>
    </w:p>
    <w:p w:rsidR="008D7042" w:rsidRPr="008D7042" w:rsidRDefault="008D7042" w:rsidP="008D7042">
      <w:pPr>
        <w:spacing w:line="20" w:lineRule="atLeast"/>
        <w:ind w:left="3693"/>
        <w:rPr>
          <w:rFonts w:eastAsia="Arial"/>
          <w:sz w:val="4"/>
          <w:szCs w:val="2"/>
        </w:rPr>
      </w:pPr>
    </w:p>
    <w:p w:rsidR="008D7042" w:rsidRPr="008D7042" w:rsidRDefault="0044592F" w:rsidP="008D7042">
      <w:pPr>
        <w:pStyle w:val="BodyText"/>
        <w:spacing w:before="81" w:line="258" w:lineRule="auto"/>
        <w:ind w:left="3600" w:right="34"/>
        <w:rPr>
          <w:rFonts w:ascii="Times New Roman" w:hAnsi="Times New Roman" w:cs="Times New Roman"/>
          <w:sz w:val="24"/>
        </w:rPr>
      </w:pPr>
      <w:r w:rsidRPr="008D7042">
        <w:rPr>
          <w:rFonts w:ascii="Times New Roman" w:hAnsi="Times New Roman" w:cs="Times New Roman"/>
          <w:color w:val="0F0F0F"/>
          <w:sz w:val="24"/>
        </w:rPr>
        <w:t>Michelle</w:t>
      </w:r>
      <w:r w:rsidRPr="008D7042">
        <w:rPr>
          <w:rFonts w:ascii="Times New Roman" w:hAnsi="Times New Roman" w:cs="Times New Roman"/>
          <w:color w:val="0F0F0F"/>
          <w:spacing w:val="12"/>
          <w:sz w:val="24"/>
        </w:rPr>
        <w:t xml:space="preserve"> </w:t>
      </w:r>
      <w:r w:rsidRPr="008D7042">
        <w:rPr>
          <w:rFonts w:ascii="Times New Roman" w:hAnsi="Times New Roman" w:cs="Times New Roman"/>
          <w:color w:val="0F0F0F"/>
          <w:sz w:val="24"/>
        </w:rPr>
        <w:t>Thebert,</w:t>
      </w:r>
      <w:r w:rsidRPr="008D7042">
        <w:rPr>
          <w:rFonts w:ascii="Times New Roman" w:hAnsi="Times New Roman" w:cs="Times New Roman"/>
          <w:color w:val="0F0F0F"/>
          <w:spacing w:val="42"/>
          <w:sz w:val="24"/>
        </w:rPr>
        <w:t xml:space="preserve"> </w:t>
      </w:r>
      <w:r w:rsidRPr="008D7042">
        <w:rPr>
          <w:rFonts w:ascii="Times New Roman" w:hAnsi="Times New Roman" w:cs="Times New Roman"/>
          <w:color w:val="0F0F0F"/>
          <w:sz w:val="24"/>
        </w:rPr>
        <w:t>Director,</w:t>
      </w:r>
      <w:r w:rsidRPr="008D7042">
        <w:rPr>
          <w:rFonts w:ascii="Times New Roman" w:hAnsi="Times New Roman" w:cs="Times New Roman"/>
          <w:color w:val="0F0F0F"/>
          <w:spacing w:val="17"/>
          <w:sz w:val="24"/>
        </w:rPr>
        <w:t xml:space="preserve"> </w:t>
      </w:r>
      <w:r w:rsidRPr="008D7042">
        <w:rPr>
          <w:rFonts w:ascii="Times New Roman" w:hAnsi="Times New Roman" w:cs="Times New Roman"/>
          <w:color w:val="0F0F0F"/>
          <w:sz w:val="24"/>
        </w:rPr>
        <w:t>Office</w:t>
      </w:r>
      <w:r w:rsidRPr="008D7042">
        <w:rPr>
          <w:rFonts w:ascii="Times New Roman" w:hAnsi="Times New Roman" w:cs="Times New Roman"/>
          <w:color w:val="0F0F0F"/>
          <w:spacing w:val="19"/>
          <w:sz w:val="24"/>
        </w:rPr>
        <w:t xml:space="preserve"> </w:t>
      </w:r>
      <w:r w:rsidRPr="008D7042">
        <w:rPr>
          <w:rFonts w:ascii="Times New Roman" w:hAnsi="Times New Roman" w:cs="Times New Roman"/>
          <w:color w:val="0F0F0F"/>
          <w:sz w:val="24"/>
        </w:rPr>
        <w:t>of</w:t>
      </w:r>
      <w:r w:rsidRPr="008D7042">
        <w:rPr>
          <w:rFonts w:ascii="Times New Roman" w:hAnsi="Times New Roman" w:cs="Times New Roman"/>
          <w:color w:val="0F0F0F"/>
          <w:spacing w:val="23"/>
          <w:sz w:val="24"/>
        </w:rPr>
        <w:t xml:space="preserve"> </w:t>
      </w:r>
      <w:r w:rsidRPr="008D7042">
        <w:rPr>
          <w:rFonts w:ascii="Times New Roman" w:hAnsi="Times New Roman" w:cs="Times New Roman"/>
          <w:color w:val="0F0F0F"/>
          <w:sz w:val="24"/>
        </w:rPr>
        <w:t>Pipeline</w:t>
      </w:r>
      <w:r w:rsidRPr="008D7042">
        <w:rPr>
          <w:rFonts w:ascii="Times New Roman" w:hAnsi="Times New Roman" w:cs="Times New Roman"/>
          <w:color w:val="0F0F0F"/>
          <w:w w:val="101"/>
          <w:sz w:val="24"/>
        </w:rPr>
        <w:t xml:space="preserve"> </w:t>
      </w:r>
      <w:r w:rsidRPr="008D7042">
        <w:rPr>
          <w:rFonts w:ascii="Times New Roman" w:hAnsi="Times New Roman" w:cs="Times New Roman"/>
          <w:color w:val="0F0F0F"/>
          <w:sz w:val="24"/>
        </w:rPr>
        <w:t>Safety/Facilities</w:t>
      </w:r>
      <w:r w:rsidRPr="008D7042">
        <w:rPr>
          <w:rFonts w:ascii="Times New Roman" w:hAnsi="Times New Roman" w:cs="Times New Roman"/>
          <w:color w:val="0F0F0F"/>
          <w:spacing w:val="57"/>
          <w:sz w:val="24"/>
        </w:rPr>
        <w:t xml:space="preserve"> </w:t>
      </w:r>
      <w:r w:rsidRPr="008D7042">
        <w:rPr>
          <w:rFonts w:ascii="Times New Roman" w:hAnsi="Times New Roman" w:cs="Times New Roman"/>
          <w:color w:val="0F0F0F"/>
          <w:sz w:val="24"/>
        </w:rPr>
        <w:t>Protection</w:t>
      </w:r>
    </w:p>
    <w:p w:rsidR="008D7042" w:rsidRPr="008D7042" w:rsidRDefault="0044592F" w:rsidP="008D7042">
      <w:pPr>
        <w:pStyle w:val="BodyText"/>
        <w:spacing w:before="5"/>
        <w:ind w:left="3600"/>
        <w:rPr>
          <w:rFonts w:ascii="Times New Roman" w:hAnsi="Times New Roman" w:cs="Times New Roman"/>
          <w:sz w:val="24"/>
        </w:rPr>
      </w:pPr>
      <w:r w:rsidRPr="008D7042">
        <w:rPr>
          <w:rFonts w:ascii="Times New Roman" w:hAnsi="Times New Roman" w:cs="Times New Roman"/>
          <w:color w:val="0F0F0F"/>
          <w:sz w:val="24"/>
        </w:rPr>
        <w:t>Georgia</w:t>
      </w:r>
      <w:r w:rsidRPr="008D7042">
        <w:rPr>
          <w:rFonts w:ascii="Times New Roman" w:hAnsi="Times New Roman" w:cs="Times New Roman"/>
          <w:color w:val="0F0F0F"/>
          <w:spacing w:val="34"/>
          <w:sz w:val="24"/>
        </w:rPr>
        <w:t xml:space="preserve"> </w:t>
      </w:r>
      <w:r w:rsidRPr="008D7042">
        <w:rPr>
          <w:rFonts w:ascii="Times New Roman" w:hAnsi="Times New Roman" w:cs="Times New Roman"/>
          <w:color w:val="0F0F0F"/>
          <w:sz w:val="24"/>
        </w:rPr>
        <w:t>Public</w:t>
      </w:r>
      <w:r w:rsidRPr="008D7042">
        <w:rPr>
          <w:rFonts w:ascii="Times New Roman" w:hAnsi="Times New Roman" w:cs="Times New Roman"/>
          <w:color w:val="0F0F0F"/>
          <w:spacing w:val="18"/>
          <w:sz w:val="24"/>
        </w:rPr>
        <w:t xml:space="preserve"> </w:t>
      </w:r>
      <w:r w:rsidRPr="008D7042">
        <w:rPr>
          <w:rFonts w:ascii="Times New Roman" w:hAnsi="Times New Roman" w:cs="Times New Roman"/>
          <w:color w:val="0F0F0F"/>
          <w:sz w:val="24"/>
        </w:rPr>
        <w:t>Service</w:t>
      </w:r>
      <w:r w:rsidRPr="008D7042">
        <w:rPr>
          <w:rFonts w:ascii="Times New Roman" w:hAnsi="Times New Roman" w:cs="Times New Roman"/>
          <w:color w:val="0F0F0F"/>
          <w:spacing w:val="28"/>
          <w:sz w:val="24"/>
        </w:rPr>
        <w:t xml:space="preserve"> </w:t>
      </w:r>
      <w:r w:rsidRPr="008D7042">
        <w:rPr>
          <w:rFonts w:ascii="Times New Roman" w:hAnsi="Times New Roman" w:cs="Times New Roman"/>
          <w:color w:val="0F0F0F"/>
          <w:sz w:val="24"/>
        </w:rPr>
        <w:t>Commission</w:t>
      </w:r>
    </w:p>
    <w:p w:rsidR="008D7042" w:rsidRPr="00477670" w:rsidRDefault="008D7042" w:rsidP="00A51C7C">
      <w:pPr>
        <w:kinsoku w:val="0"/>
        <w:overflowPunct w:val="0"/>
        <w:autoSpaceDE/>
        <w:autoSpaceDN/>
        <w:adjustRightInd/>
        <w:spacing w:before="3" w:line="276" w:lineRule="exact"/>
        <w:ind w:left="3600"/>
        <w:jc w:val="both"/>
        <w:textAlignment w:val="baseline"/>
        <w:rPr>
          <w:spacing w:val="3"/>
          <w:sz w:val="24"/>
          <w:szCs w:val="24"/>
        </w:rPr>
      </w:pPr>
    </w:p>
    <w:sectPr w:rsidR="008D7042" w:rsidRPr="00477670" w:rsidSect="00253ABC">
      <w:headerReference w:type="even" r:id="rId8"/>
      <w:headerReference w:type="default" r:id="rId9"/>
      <w:footerReference w:type="even" r:id="rId10"/>
      <w:footerReference w:type="default" r:id="rId11"/>
      <w:headerReference w:type="first" r:id="rId12"/>
      <w:footerReference w:type="first" r:id="rId13"/>
      <w:pgSz w:w="12221" w:h="15802"/>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9A" w:rsidRDefault="00B5499A">
      <w:r>
        <w:separator/>
      </w:r>
    </w:p>
  </w:endnote>
  <w:endnote w:type="continuationSeparator" w:id="0">
    <w:p w:rsidR="00B5499A" w:rsidRDefault="00B5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8" w:rsidRDefault="001D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90" w:rsidRDefault="00B84590">
    <w:pPr>
      <w:pStyle w:val="Footer"/>
    </w:pPr>
  </w:p>
  <w:p w:rsidR="00B84590" w:rsidRPr="005B6D55" w:rsidRDefault="0044592F" w:rsidP="00253ABC">
    <w:pPr>
      <w:pStyle w:val="Footer"/>
      <w:jc w:val="center"/>
      <w:rPr>
        <w:sz w:val="22"/>
        <w:szCs w:val="22"/>
      </w:rPr>
    </w:pPr>
    <w:r w:rsidRPr="005B6D55">
      <w:rPr>
        <w:sz w:val="22"/>
        <w:szCs w:val="22"/>
      </w:rPr>
      <w:t>Settlement Agreement</w:t>
    </w:r>
  </w:p>
  <w:p w:rsidR="00B84590" w:rsidRPr="005B6D55" w:rsidRDefault="0044592F" w:rsidP="00253ABC">
    <w:pPr>
      <w:pStyle w:val="Footer"/>
      <w:jc w:val="center"/>
      <w:rPr>
        <w:sz w:val="22"/>
        <w:szCs w:val="22"/>
      </w:rPr>
    </w:pPr>
    <w:r w:rsidRPr="005B6D55">
      <w:rPr>
        <w:sz w:val="22"/>
        <w:szCs w:val="22"/>
      </w:rPr>
      <w:t xml:space="preserve">Docket No. </w:t>
    </w:r>
    <w:r w:rsidR="00D56C05" w:rsidRPr="005B6D55">
      <w:rPr>
        <w:sz w:val="22"/>
        <w:szCs w:val="22"/>
      </w:rPr>
      <w:t>42166</w:t>
    </w:r>
  </w:p>
  <w:p w:rsidR="00B84590" w:rsidRPr="005B6D55" w:rsidRDefault="00B5499A" w:rsidP="00253ABC">
    <w:pPr>
      <w:pStyle w:val="Footer"/>
      <w:jc w:val="center"/>
      <w:rPr>
        <w:sz w:val="22"/>
        <w:szCs w:val="22"/>
      </w:rPr>
    </w:pPr>
    <w:sdt>
      <w:sdtPr>
        <w:rPr>
          <w:sz w:val="22"/>
          <w:szCs w:val="22"/>
        </w:rPr>
        <w:id w:val="1654945145"/>
        <w:docPartObj>
          <w:docPartGallery w:val="Page Numbers (Bottom of Page)"/>
          <w:docPartUnique/>
        </w:docPartObj>
      </w:sdtPr>
      <w:sdtEndPr/>
      <w:sdtContent>
        <w:sdt>
          <w:sdtPr>
            <w:rPr>
              <w:sz w:val="22"/>
              <w:szCs w:val="22"/>
            </w:rPr>
            <w:id w:val="98381352"/>
            <w:docPartObj>
              <w:docPartGallery w:val="Page Numbers (Top of Page)"/>
              <w:docPartUnique/>
            </w:docPartObj>
          </w:sdtPr>
          <w:sdtEndPr/>
          <w:sdtContent>
            <w:sdt>
              <w:sdtPr>
                <w:rPr>
                  <w:sz w:val="22"/>
                  <w:szCs w:val="22"/>
                </w:rPr>
                <w:id w:val="-1919168921"/>
                <w:docPartObj>
                  <w:docPartGallery w:val="Page Numbers (Bottom of Page)"/>
                  <w:docPartUnique/>
                </w:docPartObj>
              </w:sdtPr>
              <w:sdtEndPr/>
              <w:sdtContent>
                <w:sdt>
                  <w:sdtPr>
                    <w:rPr>
                      <w:sz w:val="22"/>
                      <w:szCs w:val="22"/>
                    </w:rPr>
                    <w:id w:val="-1134564853"/>
                    <w:docPartObj>
                      <w:docPartGallery w:val="Page Numbers (Top of Page)"/>
                      <w:docPartUnique/>
                    </w:docPartObj>
                  </w:sdtPr>
                  <w:sdtEndPr/>
                  <w:sdtContent>
                    <w:r w:rsidR="00400837" w:rsidRPr="005B6D55">
                      <w:rPr>
                        <w:sz w:val="22"/>
                        <w:szCs w:val="22"/>
                      </w:rPr>
                      <w:t xml:space="preserve">Page </w:t>
                    </w:r>
                    <w:r w:rsidR="00F43CB7" w:rsidRPr="005B6D55">
                      <w:rPr>
                        <w:bCs/>
                        <w:sz w:val="22"/>
                        <w:szCs w:val="22"/>
                      </w:rPr>
                      <w:fldChar w:fldCharType="begin"/>
                    </w:r>
                    <w:r w:rsidR="00400837" w:rsidRPr="005B6D55">
                      <w:rPr>
                        <w:bCs/>
                        <w:sz w:val="22"/>
                        <w:szCs w:val="22"/>
                      </w:rPr>
                      <w:instrText xml:space="preserve"> PAGE </w:instrText>
                    </w:r>
                    <w:r w:rsidR="00F43CB7" w:rsidRPr="005B6D55">
                      <w:rPr>
                        <w:bCs/>
                        <w:sz w:val="22"/>
                        <w:szCs w:val="22"/>
                      </w:rPr>
                      <w:fldChar w:fldCharType="separate"/>
                    </w:r>
                    <w:r w:rsidR="00A7469A">
                      <w:rPr>
                        <w:bCs/>
                        <w:noProof/>
                        <w:sz w:val="22"/>
                        <w:szCs w:val="22"/>
                      </w:rPr>
                      <w:t>4</w:t>
                    </w:r>
                    <w:r w:rsidR="00F43CB7" w:rsidRPr="005B6D55">
                      <w:rPr>
                        <w:bCs/>
                        <w:sz w:val="22"/>
                        <w:szCs w:val="22"/>
                      </w:rPr>
                      <w:fldChar w:fldCharType="end"/>
                    </w:r>
                    <w:r w:rsidR="00400837" w:rsidRPr="005B6D55">
                      <w:rPr>
                        <w:sz w:val="22"/>
                        <w:szCs w:val="22"/>
                      </w:rPr>
                      <w:t xml:space="preserve"> of </w:t>
                    </w:r>
                    <w:r w:rsidR="00F43CB7" w:rsidRPr="005B6D55">
                      <w:rPr>
                        <w:bCs/>
                        <w:sz w:val="22"/>
                        <w:szCs w:val="22"/>
                      </w:rPr>
                      <w:fldChar w:fldCharType="begin"/>
                    </w:r>
                    <w:r w:rsidR="00400837" w:rsidRPr="005B6D55">
                      <w:rPr>
                        <w:bCs/>
                        <w:sz w:val="22"/>
                        <w:szCs w:val="22"/>
                      </w:rPr>
                      <w:instrText xml:space="preserve"> NUMPAGES  </w:instrText>
                    </w:r>
                    <w:r w:rsidR="00F43CB7" w:rsidRPr="005B6D55">
                      <w:rPr>
                        <w:bCs/>
                        <w:sz w:val="22"/>
                        <w:szCs w:val="22"/>
                      </w:rPr>
                      <w:fldChar w:fldCharType="separate"/>
                    </w:r>
                    <w:r w:rsidR="00A7469A">
                      <w:rPr>
                        <w:bCs/>
                        <w:noProof/>
                        <w:sz w:val="22"/>
                        <w:szCs w:val="22"/>
                      </w:rPr>
                      <w:t>4</w:t>
                    </w:r>
                    <w:r w:rsidR="00F43CB7" w:rsidRPr="005B6D55">
                      <w:rPr>
                        <w:bCs/>
                        <w:sz w:val="22"/>
                        <w:szCs w:val="22"/>
                      </w:rPr>
                      <w:fldChar w:fldCharType="end"/>
                    </w:r>
                  </w:sdtContent>
                </w:sdt>
              </w:sdtContent>
            </w:sdt>
          </w:sdtContent>
        </w:sdt>
      </w:sdtContent>
    </w:sdt>
  </w:p>
  <w:p w:rsidR="00B84590" w:rsidRDefault="00B84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8" w:rsidRDefault="001D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9A" w:rsidRDefault="00B5499A">
      <w:r>
        <w:separator/>
      </w:r>
    </w:p>
  </w:footnote>
  <w:footnote w:type="continuationSeparator" w:id="0">
    <w:p w:rsidR="00B5499A" w:rsidRDefault="00B5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8" w:rsidRDefault="001D2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8" w:rsidRDefault="001D2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78" w:rsidRDefault="001D2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BDDE"/>
    <w:multiLevelType w:val="singleLevel"/>
    <w:tmpl w:val="1F381032"/>
    <w:lvl w:ilvl="0">
      <w:start w:val="2"/>
      <w:numFmt w:val="decimal"/>
      <w:lvlText w:val="%1."/>
      <w:lvlJc w:val="left"/>
      <w:pPr>
        <w:tabs>
          <w:tab w:val="num" w:pos="4968"/>
        </w:tabs>
        <w:ind w:left="4752"/>
      </w:pPr>
      <w:rPr>
        <w:rFonts w:ascii="Arial" w:hAnsi="Arial" w:cs="Arial"/>
        <w:b/>
        <w:snapToGrid/>
        <w:spacing w:val="-45"/>
        <w:sz w:val="23"/>
        <w:szCs w:val="23"/>
      </w:rPr>
    </w:lvl>
  </w:abstractNum>
  <w:abstractNum w:abstractNumId="1" w15:restartNumberingAfterBreak="0">
    <w:nsid w:val="0378CCBF"/>
    <w:multiLevelType w:val="singleLevel"/>
    <w:tmpl w:val="3721FCA5"/>
    <w:lvl w:ilvl="0">
      <w:start w:val="2"/>
      <w:numFmt w:val="decimal"/>
      <w:lvlText w:val="%1."/>
      <w:lvlJc w:val="left"/>
      <w:pPr>
        <w:tabs>
          <w:tab w:val="num" w:pos="5040"/>
        </w:tabs>
        <w:ind w:left="4824"/>
      </w:pPr>
      <w:rPr>
        <w:rFonts w:ascii="Arial" w:hAnsi="Arial" w:cs="Arial"/>
        <w:snapToGrid/>
        <w:spacing w:val="-117"/>
        <w:sz w:val="23"/>
        <w:szCs w:val="23"/>
      </w:rPr>
    </w:lvl>
  </w:abstractNum>
  <w:abstractNum w:abstractNumId="2" w15:restartNumberingAfterBreak="0">
    <w:nsid w:val="073300BA"/>
    <w:multiLevelType w:val="singleLevel"/>
    <w:tmpl w:val="723A5C85"/>
    <w:lvl w:ilvl="0">
      <w:start w:val="9"/>
      <w:numFmt w:val="decimal"/>
      <w:lvlText w:val="%1."/>
      <w:lvlJc w:val="left"/>
      <w:pPr>
        <w:tabs>
          <w:tab w:val="num" w:pos="4968"/>
        </w:tabs>
        <w:ind w:left="4680"/>
      </w:pPr>
      <w:rPr>
        <w:rFonts w:ascii="Arial" w:hAnsi="Arial" w:cs="Arial"/>
        <w:b/>
        <w:bCs/>
        <w:snapToGrid/>
        <w:spacing w:val="-43"/>
        <w:sz w:val="23"/>
        <w:szCs w:val="23"/>
      </w:rPr>
    </w:lvl>
  </w:abstractNum>
  <w:abstractNum w:abstractNumId="3" w15:restartNumberingAfterBreak="0">
    <w:nsid w:val="2CCB294F"/>
    <w:multiLevelType w:val="hybridMultilevel"/>
    <w:tmpl w:val="7E1A4228"/>
    <w:lvl w:ilvl="0" w:tplc="686C7040">
      <w:start w:val="1"/>
      <w:numFmt w:val="decimal"/>
      <w:lvlText w:val="%1."/>
      <w:lvlJc w:val="left"/>
      <w:pPr>
        <w:ind w:left="1440" w:hanging="360"/>
      </w:pPr>
      <w:rPr>
        <w:b/>
      </w:rPr>
    </w:lvl>
    <w:lvl w:ilvl="1" w:tplc="B68EFF7E" w:tentative="1">
      <w:start w:val="1"/>
      <w:numFmt w:val="lowerLetter"/>
      <w:lvlText w:val="%2."/>
      <w:lvlJc w:val="left"/>
      <w:pPr>
        <w:ind w:left="2160" w:hanging="360"/>
      </w:pPr>
    </w:lvl>
    <w:lvl w:ilvl="2" w:tplc="4B183FF2" w:tentative="1">
      <w:start w:val="1"/>
      <w:numFmt w:val="lowerRoman"/>
      <w:lvlText w:val="%3."/>
      <w:lvlJc w:val="right"/>
      <w:pPr>
        <w:ind w:left="2880" w:hanging="180"/>
      </w:pPr>
    </w:lvl>
    <w:lvl w:ilvl="3" w:tplc="8BF6E49C" w:tentative="1">
      <w:start w:val="1"/>
      <w:numFmt w:val="decimal"/>
      <w:lvlText w:val="%4."/>
      <w:lvlJc w:val="left"/>
      <w:pPr>
        <w:ind w:left="3600" w:hanging="360"/>
      </w:pPr>
    </w:lvl>
    <w:lvl w:ilvl="4" w:tplc="D4F43308" w:tentative="1">
      <w:start w:val="1"/>
      <w:numFmt w:val="lowerLetter"/>
      <w:lvlText w:val="%5."/>
      <w:lvlJc w:val="left"/>
      <w:pPr>
        <w:ind w:left="4320" w:hanging="360"/>
      </w:pPr>
    </w:lvl>
    <w:lvl w:ilvl="5" w:tplc="476C4A08" w:tentative="1">
      <w:start w:val="1"/>
      <w:numFmt w:val="lowerRoman"/>
      <w:lvlText w:val="%6."/>
      <w:lvlJc w:val="right"/>
      <w:pPr>
        <w:ind w:left="5040" w:hanging="180"/>
      </w:pPr>
    </w:lvl>
    <w:lvl w:ilvl="6" w:tplc="713A2A38" w:tentative="1">
      <w:start w:val="1"/>
      <w:numFmt w:val="decimal"/>
      <w:lvlText w:val="%7."/>
      <w:lvlJc w:val="left"/>
      <w:pPr>
        <w:ind w:left="5760" w:hanging="360"/>
      </w:pPr>
    </w:lvl>
    <w:lvl w:ilvl="7" w:tplc="EC02A4A2" w:tentative="1">
      <w:start w:val="1"/>
      <w:numFmt w:val="lowerLetter"/>
      <w:lvlText w:val="%8."/>
      <w:lvlJc w:val="left"/>
      <w:pPr>
        <w:ind w:left="6480" w:hanging="360"/>
      </w:pPr>
    </w:lvl>
    <w:lvl w:ilvl="8" w:tplc="71FEB220" w:tentative="1">
      <w:start w:val="1"/>
      <w:numFmt w:val="lowerRoman"/>
      <w:lvlText w:val="%9."/>
      <w:lvlJc w:val="right"/>
      <w:pPr>
        <w:ind w:left="7200" w:hanging="180"/>
      </w:pPr>
    </w:lvl>
  </w:abstractNum>
  <w:abstractNum w:abstractNumId="4" w15:restartNumberingAfterBreak="0">
    <w:nsid w:val="4E6B16C5"/>
    <w:multiLevelType w:val="hybridMultilevel"/>
    <w:tmpl w:val="8A986424"/>
    <w:lvl w:ilvl="0" w:tplc="2A067F94">
      <w:start w:val="1"/>
      <w:numFmt w:val="decimal"/>
      <w:lvlText w:val="%1."/>
      <w:lvlJc w:val="left"/>
      <w:pPr>
        <w:ind w:left="720" w:hanging="360"/>
      </w:pPr>
    </w:lvl>
    <w:lvl w:ilvl="1" w:tplc="C12E834C" w:tentative="1">
      <w:start w:val="1"/>
      <w:numFmt w:val="lowerLetter"/>
      <w:lvlText w:val="%2."/>
      <w:lvlJc w:val="left"/>
      <w:pPr>
        <w:ind w:left="1440" w:hanging="360"/>
      </w:pPr>
    </w:lvl>
    <w:lvl w:ilvl="2" w:tplc="84006746" w:tentative="1">
      <w:start w:val="1"/>
      <w:numFmt w:val="lowerRoman"/>
      <w:lvlText w:val="%3."/>
      <w:lvlJc w:val="right"/>
      <w:pPr>
        <w:ind w:left="2160" w:hanging="180"/>
      </w:pPr>
    </w:lvl>
    <w:lvl w:ilvl="3" w:tplc="76CC1622" w:tentative="1">
      <w:start w:val="1"/>
      <w:numFmt w:val="decimal"/>
      <w:lvlText w:val="%4."/>
      <w:lvlJc w:val="left"/>
      <w:pPr>
        <w:ind w:left="2880" w:hanging="360"/>
      </w:pPr>
    </w:lvl>
    <w:lvl w:ilvl="4" w:tplc="63785794" w:tentative="1">
      <w:start w:val="1"/>
      <w:numFmt w:val="lowerLetter"/>
      <w:lvlText w:val="%5."/>
      <w:lvlJc w:val="left"/>
      <w:pPr>
        <w:ind w:left="3600" w:hanging="360"/>
      </w:pPr>
    </w:lvl>
    <w:lvl w:ilvl="5" w:tplc="4D925E58" w:tentative="1">
      <w:start w:val="1"/>
      <w:numFmt w:val="lowerRoman"/>
      <w:lvlText w:val="%6."/>
      <w:lvlJc w:val="right"/>
      <w:pPr>
        <w:ind w:left="4320" w:hanging="180"/>
      </w:pPr>
    </w:lvl>
    <w:lvl w:ilvl="6" w:tplc="E6584052" w:tentative="1">
      <w:start w:val="1"/>
      <w:numFmt w:val="decimal"/>
      <w:lvlText w:val="%7."/>
      <w:lvlJc w:val="left"/>
      <w:pPr>
        <w:ind w:left="5040" w:hanging="360"/>
      </w:pPr>
    </w:lvl>
    <w:lvl w:ilvl="7" w:tplc="FB14F958" w:tentative="1">
      <w:start w:val="1"/>
      <w:numFmt w:val="lowerLetter"/>
      <w:lvlText w:val="%8."/>
      <w:lvlJc w:val="left"/>
      <w:pPr>
        <w:ind w:left="5760" w:hanging="360"/>
      </w:pPr>
    </w:lvl>
    <w:lvl w:ilvl="8" w:tplc="576C482C"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numFmt w:val="decimal"/>
        <w:lvlText w:val="%1."/>
        <w:lvlJc w:val="left"/>
        <w:pPr>
          <w:tabs>
            <w:tab w:val="num" w:pos="5040"/>
          </w:tabs>
          <w:ind w:left="4824"/>
        </w:pPr>
        <w:rPr>
          <w:rFonts w:ascii="Arial" w:hAnsi="Arial" w:cs="Arial"/>
          <w:b/>
          <w:bCs/>
          <w:snapToGrid/>
          <w:spacing w:val="-103"/>
          <w:sz w:val="23"/>
          <w:szCs w:val="23"/>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5E"/>
    <w:rsid w:val="00004315"/>
    <w:rsid w:val="00025678"/>
    <w:rsid w:val="00027FF0"/>
    <w:rsid w:val="00056BC3"/>
    <w:rsid w:val="00085EB0"/>
    <w:rsid w:val="0009712F"/>
    <w:rsid w:val="0015655D"/>
    <w:rsid w:val="001737B4"/>
    <w:rsid w:val="00191602"/>
    <w:rsid w:val="0019327F"/>
    <w:rsid w:val="001D2C78"/>
    <w:rsid w:val="001F02A2"/>
    <w:rsid w:val="00235249"/>
    <w:rsid w:val="002366E3"/>
    <w:rsid w:val="00253ABC"/>
    <w:rsid w:val="00284802"/>
    <w:rsid w:val="00293EE5"/>
    <w:rsid w:val="002C520D"/>
    <w:rsid w:val="00330851"/>
    <w:rsid w:val="00360CCD"/>
    <w:rsid w:val="00400837"/>
    <w:rsid w:val="0042022F"/>
    <w:rsid w:val="0044592F"/>
    <w:rsid w:val="004522A7"/>
    <w:rsid w:val="004524C2"/>
    <w:rsid w:val="00454D5E"/>
    <w:rsid w:val="00477670"/>
    <w:rsid w:val="00486A84"/>
    <w:rsid w:val="004D4C8C"/>
    <w:rsid w:val="00546971"/>
    <w:rsid w:val="005A1597"/>
    <w:rsid w:val="005B6D55"/>
    <w:rsid w:val="005D62E3"/>
    <w:rsid w:val="00655A4F"/>
    <w:rsid w:val="00670BDB"/>
    <w:rsid w:val="00672DB7"/>
    <w:rsid w:val="006C5DA9"/>
    <w:rsid w:val="006C633A"/>
    <w:rsid w:val="007176D5"/>
    <w:rsid w:val="007213E5"/>
    <w:rsid w:val="00762CBD"/>
    <w:rsid w:val="007C136C"/>
    <w:rsid w:val="007E08EC"/>
    <w:rsid w:val="00820E13"/>
    <w:rsid w:val="00823372"/>
    <w:rsid w:val="008553F2"/>
    <w:rsid w:val="00894C60"/>
    <w:rsid w:val="008A562A"/>
    <w:rsid w:val="008D7042"/>
    <w:rsid w:val="00906911"/>
    <w:rsid w:val="00940341"/>
    <w:rsid w:val="009B6C47"/>
    <w:rsid w:val="00A33062"/>
    <w:rsid w:val="00A51C7C"/>
    <w:rsid w:val="00A67580"/>
    <w:rsid w:val="00A7469A"/>
    <w:rsid w:val="00AB6046"/>
    <w:rsid w:val="00AC0087"/>
    <w:rsid w:val="00B00153"/>
    <w:rsid w:val="00B02CFF"/>
    <w:rsid w:val="00B225D7"/>
    <w:rsid w:val="00B5499A"/>
    <w:rsid w:val="00B779FC"/>
    <w:rsid w:val="00B84590"/>
    <w:rsid w:val="00B85B5E"/>
    <w:rsid w:val="00BB0C0C"/>
    <w:rsid w:val="00BB264B"/>
    <w:rsid w:val="00BB6B76"/>
    <w:rsid w:val="00BE52ED"/>
    <w:rsid w:val="00BF7457"/>
    <w:rsid w:val="00C12130"/>
    <w:rsid w:val="00C2019E"/>
    <w:rsid w:val="00C720BC"/>
    <w:rsid w:val="00CF0059"/>
    <w:rsid w:val="00CF133F"/>
    <w:rsid w:val="00D03651"/>
    <w:rsid w:val="00D07121"/>
    <w:rsid w:val="00D201EB"/>
    <w:rsid w:val="00D56C05"/>
    <w:rsid w:val="00D8026D"/>
    <w:rsid w:val="00DA488B"/>
    <w:rsid w:val="00DB241A"/>
    <w:rsid w:val="00DB3634"/>
    <w:rsid w:val="00DD5C5B"/>
    <w:rsid w:val="00DF34CB"/>
    <w:rsid w:val="00E42C3A"/>
    <w:rsid w:val="00E50B73"/>
    <w:rsid w:val="00E676AD"/>
    <w:rsid w:val="00E748F9"/>
    <w:rsid w:val="00EC2CAE"/>
    <w:rsid w:val="00F43CB7"/>
    <w:rsid w:val="00F81EE4"/>
    <w:rsid w:val="00FB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C720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8EC"/>
    <w:pPr>
      <w:tabs>
        <w:tab w:val="center" w:pos="4680"/>
        <w:tab w:val="right" w:pos="9360"/>
      </w:tabs>
    </w:pPr>
  </w:style>
  <w:style w:type="character" w:customStyle="1" w:styleId="HeaderChar">
    <w:name w:val="Header Char"/>
    <w:link w:val="Header"/>
    <w:uiPriority w:val="99"/>
    <w:rsid w:val="007E08EC"/>
    <w:rPr>
      <w:rFonts w:ascii="Times New Roman" w:hAnsi="Times New Roman" w:cs="Times New Roman"/>
      <w:sz w:val="20"/>
      <w:szCs w:val="20"/>
    </w:rPr>
  </w:style>
  <w:style w:type="paragraph" w:styleId="Footer">
    <w:name w:val="footer"/>
    <w:basedOn w:val="Normal"/>
    <w:link w:val="FooterChar"/>
    <w:uiPriority w:val="99"/>
    <w:unhideWhenUsed/>
    <w:rsid w:val="007E08EC"/>
    <w:pPr>
      <w:tabs>
        <w:tab w:val="center" w:pos="4680"/>
        <w:tab w:val="right" w:pos="9360"/>
      </w:tabs>
    </w:pPr>
  </w:style>
  <w:style w:type="character" w:customStyle="1" w:styleId="FooterChar">
    <w:name w:val="Footer Char"/>
    <w:link w:val="Footer"/>
    <w:uiPriority w:val="99"/>
    <w:rsid w:val="007E08E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E08EC"/>
    <w:rPr>
      <w:rFonts w:ascii="Tahoma" w:hAnsi="Tahoma" w:cs="Tahoma"/>
      <w:sz w:val="16"/>
      <w:szCs w:val="16"/>
    </w:rPr>
  </w:style>
  <w:style w:type="character" w:customStyle="1" w:styleId="BalloonTextChar">
    <w:name w:val="Balloon Text Char"/>
    <w:link w:val="BalloonText"/>
    <w:uiPriority w:val="99"/>
    <w:semiHidden/>
    <w:rsid w:val="007E08EC"/>
    <w:rPr>
      <w:rFonts w:ascii="Tahoma" w:hAnsi="Tahoma" w:cs="Tahoma"/>
      <w:sz w:val="16"/>
      <w:szCs w:val="16"/>
    </w:rPr>
  </w:style>
  <w:style w:type="character" w:customStyle="1" w:styleId="Heading1Char">
    <w:name w:val="Heading 1 Char"/>
    <w:basedOn w:val="DefaultParagraphFont"/>
    <w:link w:val="Heading1"/>
    <w:uiPriority w:val="9"/>
    <w:rsid w:val="00C720BC"/>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C720BC"/>
    <w:rPr>
      <w:rFonts w:ascii="Times New Roman" w:hAnsi="Times New Roman" w:cs="Times New Roman"/>
      <w:b w:val="0"/>
      <w:i w:val="0"/>
      <w:vanish w:val="0"/>
      <w:color w:val="000000"/>
      <w:spacing w:val="-1"/>
      <w:sz w:val="18"/>
      <w:szCs w:val="23"/>
      <w:u w:val="none"/>
    </w:rPr>
  </w:style>
  <w:style w:type="paragraph" w:styleId="BlockText">
    <w:name w:val="Block Text"/>
    <w:basedOn w:val="Normal"/>
    <w:qFormat/>
    <w:rsid w:val="002366E3"/>
    <w:pPr>
      <w:widowControl/>
      <w:autoSpaceDE/>
      <w:autoSpaceDN/>
      <w:adjustRightInd/>
      <w:spacing w:after="240"/>
    </w:pPr>
    <w:rPr>
      <w:rFonts w:eastAsiaTheme="minorEastAsia" w:cstheme="minorBidi"/>
      <w:iCs/>
      <w:sz w:val="24"/>
      <w:szCs w:val="24"/>
    </w:rPr>
  </w:style>
  <w:style w:type="character" w:styleId="CommentReference">
    <w:name w:val="annotation reference"/>
    <w:basedOn w:val="DefaultParagraphFont"/>
    <w:uiPriority w:val="99"/>
    <w:semiHidden/>
    <w:unhideWhenUsed/>
    <w:rsid w:val="00DB241A"/>
    <w:rPr>
      <w:sz w:val="16"/>
      <w:szCs w:val="16"/>
    </w:rPr>
  </w:style>
  <w:style w:type="paragraph" w:styleId="CommentText">
    <w:name w:val="annotation text"/>
    <w:basedOn w:val="Normal"/>
    <w:link w:val="CommentTextChar"/>
    <w:uiPriority w:val="99"/>
    <w:semiHidden/>
    <w:unhideWhenUsed/>
    <w:rsid w:val="00DB241A"/>
  </w:style>
  <w:style w:type="character" w:customStyle="1" w:styleId="CommentTextChar">
    <w:name w:val="Comment Text Char"/>
    <w:basedOn w:val="DefaultParagraphFont"/>
    <w:link w:val="CommentText"/>
    <w:uiPriority w:val="99"/>
    <w:semiHidden/>
    <w:rsid w:val="00DB241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B241A"/>
    <w:rPr>
      <w:b/>
      <w:bCs/>
    </w:rPr>
  </w:style>
  <w:style w:type="character" w:customStyle="1" w:styleId="CommentSubjectChar">
    <w:name w:val="Comment Subject Char"/>
    <w:basedOn w:val="CommentTextChar"/>
    <w:link w:val="CommentSubject"/>
    <w:uiPriority w:val="99"/>
    <w:semiHidden/>
    <w:rsid w:val="00DB241A"/>
    <w:rPr>
      <w:rFonts w:ascii="Times New Roman" w:hAnsi="Times New Roman"/>
      <w:b/>
      <w:bCs/>
    </w:rPr>
  </w:style>
  <w:style w:type="paragraph" w:styleId="BodyText">
    <w:name w:val="Body Text"/>
    <w:basedOn w:val="Normal"/>
    <w:link w:val="BodyTextChar"/>
    <w:uiPriority w:val="1"/>
    <w:qFormat/>
    <w:rsid w:val="008D7042"/>
    <w:pPr>
      <w:autoSpaceDE/>
      <w:autoSpaceDN/>
      <w:adjustRightInd/>
      <w:ind w:left="115"/>
    </w:pPr>
    <w:rPr>
      <w:rFonts w:ascii="Arial" w:eastAsia="Arial" w:hAnsi="Arial" w:cstheme="minorBidi"/>
      <w:sz w:val="22"/>
      <w:szCs w:val="22"/>
    </w:rPr>
  </w:style>
  <w:style w:type="character" w:customStyle="1" w:styleId="BodyTextChar">
    <w:name w:val="Body Text Char"/>
    <w:basedOn w:val="DefaultParagraphFont"/>
    <w:link w:val="BodyText"/>
    <w:uiPriority w:val="1"/>
    <w:rsid w:val="008D7042"/>
    <w:rPr>
      <w:rFonts w:ascii="Arial" w:eastAsia="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23D3-41C3-4995-9051-1C3EDF66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2019-09-16T15:51:00Z</dcterms:created>
  <dcterms:modified xsi:type="dcterms:W3CDTF">2019-09-16T15:51:00Z</dcterms:modified>
</cp:coreProperties>
</file>